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footer8.xml" ContentType="application/vnd.openxmlformats-officedocument.wordprocessingml.footer+xml"/>
  <Override PartName="/word/footer11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media/image1.jpeg" ContentType="image/jpeg"/>
  <Override PartName="/word/header5.xml" ContentType="application/vnd.openxmlformats-officedocument.wordprocessingml.header+xml"/>
  <Override PartName="/word/theme/theme1.xml" ContentType="application/vnd.openxmlformats-officedocument.them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leNormal"/>
        <w:tblW w:w="1021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600" w:noHBand="1" w:lastColumn="0" w:firstColumn="0" w:lastRow="0" w:firstRow="0"/>
      </w:tblPr>
      <w:tblGrid>
        <w:gridCol w:w="928"/>
        <w:gridCol w:w="561"/>
        <w:gridCol w:w="367"/>
        <w:gridCol w:w="198"/>
        <w:gridCol w:w="449"/>
        <w:gridCol w:w="275"/>
        <w:gridCol w:w="929"/>
        <w:gridCol w:w="523"/>
        <w:gridCol w:w="408"/>
        <w:gridCol w:w="130"/>
        <w:gridCol w:w="496"/>
        <w:gridCol w:w="574"/>
        <w:gridCol w:w="579"/>
        <w:gridCol w:w="1931"/>
        <w:gridCol w:w="1687"/>
        <w:gridCol w:w="174"/>
      </w:tblGrid>
      <w:tr>
        <w:trPr>
          <w:trHeight w:val="1334" w:hRule="atLeast"/>
        </w:trPr>
        <w:tc>
          <w:tcPr>
            <w:tcW w:w="10035" w:type="dxa"/>
            <w:gridSpan w:val="15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/>
              <w:drawing>
                <wp:inline distT="0" distB="0" distL="0" distR="0">
                  <wp:extent cx="449580" cy="720090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047" t="-1294" r="-2047" b="-1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74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1474" w:hRule="atLeast"/>
        </w:trPr>
        <w:tc>
          <w:tcPr>
            <w:tcW w:w="10035" w:type="dxa"/>
            <w:gridSpan w:val="15"/>
            <w:tcBorders/>
            <w:shd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caps/>
                <w:szCs w:val="28"/>
              </w:rPr>
            </w:pPr>
            <w:r>
              <w:rPr>
                <w:rFonts w:eastAsia="Source Han Sans CN Regular" w:cs="Lohit Devanagari"/>
                <w:b/>
                <w:caps/>
                <w:kern w:val="2"/>
                <w:szCs w:val="28"/>
                <w:lang w:val="ru-RU" w:eastAsia="ru-RU" w:bidi="ru-RU"/>
              </w:rPr>
              <w:t>КЕМЕРОВСКАЯ ОБЛАСТЬ - КУЗБАСС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b/>
                <w:caps/>
                <w:szCs w:val="28"/>
              </w:rPr>
            </w:pPr>
            <w:r>
              <w:rPr>
                <w:rFonts w:eastAsia="Source Han Sans CN Regular" w:cs="Lohit Devanagari"/>
                <w:b/>
                <w:caps/>
                <w:kern w:val="2"/>
                <w:szCs w:val="28"/>
                <w:lang w:val="ru-RU" w:eastAsia="ru-RU" w:bidi="ru-RU"/>
              </w:rPr>
              <w:t>Анжеро-Судженский городской округ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bookmarkStart w:id="0" w:name="r06"/>
            <w:r>
              <w:rPr>
                <w:rFonts w:eastAsia="Source Han Sans CN Regular" w:cs="Lohit Devanagari"/>
                <w:b/>
                <w:caps/>
                <w:kern w:val="2"/>
                <w:szCs w:val="28"/>
                <w:lang w:val="ru-RU" w:eastAsia="ru-RU" w:bidi="ru-RU"/>
              </w:rPr>
              <w:t>Администрация Анжеро - Судженского</w:t>
            </w:r>
            <w:bookmarkEnd w:id="0"/>
            <w:r>
              <w:rPr>
                <w:rFonts w:eastAsia="Source Han Sans CN Regular" w:cs="Lohit Devanagari"/>
                <w:b/>
                <w:caps/>
                <w:kern w:val="2"/>
                <w:szCs w:val="28"/>
                <w:lang w:val="ru-RU" w:eastAsia="ru-RU" w:bidi="ru-RU"/>
              </w:rPr>
              <w:t xml:space="preserve"> городского округа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 Narrow" w:hAnsi="Arial Narrow" w:cs="Arial Narrow"/>
                <w:b/>
                <w:caps/>
                <w:sz w:val="20"/>
                <w:szCs w:val="20"/>
              </w:rPr>
            </w:pPr>
            <w:r>
              <w:rPr>
                <w:rFonts w:cs="Arial Narrow" w:ascii="Arial Narrow" w:hAnsi="Arial Narrow"/>
                <w:b/>
                <w:caps/>
                <w:sz w:val="20"/>
                <w:szCs w:val="20"/>
              </w:rPr>
            </w:r>
          </w:p>
        </w:tc>
        <w:tc>
          <w:tcPr>
            <w:tcW w:w="174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 Narrow" w:hAnsi="Arial Narrow" w:cs="Arial Narrow"/>
                <w:b/>
                <w:caps/>
                <w:sz w:val="20"/>
                <w:szCs w:val="20"/>
              </w:rPr>
            </w:pPr>
            <w:r>
              <w:rPr>
                <w:rFonts w:cs="Arial Narrow" w:ascii="Arial Narrow" w:hAnsi="Arial Narrow"/>
                <w:b/>
                <w:caps/>
                <w:sz w:val="20"/>
                <w:szCs w:val="20"/>
              </w:rPr>
            </w:r>
          </w:p>
        </w:tc>
      </w:tr>
      <w:tr>
        <w:trPr>
          <w:trHeight w:val="543" w:hRule="exact"/>
        </w:trPr>
        <w:tc>
          <w:tcPr>
            <w:tcW w:w="10035" w:type="dxa"/>
            <w:gridSpan w:val="15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Cs w:val="28"/>
              </w:rPr>
            </w:pPr>
            <w:r>
              <w:rPr>
                <w:rFonts w:eastAsia="Source Han Sans CN Regular" w:cs="Lohit Devanagari"/>
                <w:b/>
                <w:kern w:val="2"/>
                <w:szCs w:val="28"/>
                <w:lang w:val="ru-RU" w:eastAsia="ru-RU" w:bidi="ru-RU"/>
              </w:rPr>
              <w:t>ПОСТАНОВЛЕНИЕ</w:t>
            </w:r>
          </w:p>
        </w:tc>
        <w:tc>
          <w:tcPr>
            <w:tcW w:w="174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 Narrow" w:hAnsi="Arial Narrow" w:cs="Arial Narrow"/>
                <w:b/>
                <w:caps/>
              </w:rPr>
            </w:pPr>
            <w:r>
              <w:rPr>
                <w:rFonts w:cs="Arial Narrow" w:ascii="Arial Narrow" w:hAnsi="Arial Narrow"/>
                <w:b/>
                <w:caps/>
              </w:rPr>
            </w:r>
          </w:p>
        </w:tc>
      </w:tr>
      <w:tr>
        <w:trPr>
          <w:trHeight w:val="294" w:hRule="atLeast"/>
        </w:trPr>
        <w:tc>
          <w:tcPr>
            <w:tcW w:w="10035" w:type="dxa"/>
            <w:gridSpan w:val="15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 Narrow" w:hAnsi="Arial Narrow" w:cs="Arial Narrow"/>
                <w:b/>
                <w:caps/>
                <w:sz w:val="16"/>
                <w:szCs w:val="16"/>
              </w:rPr>
            </w:pPr>
            <w:r>
              <w:rPr>
                <w:rFonts w:cs="Arial Narrow" w:ascii="Arial Narrow" w:hAnsi="Arial Narrow"/>
                <w:b/>
                <w:caps/>
                <w:sz w:val="16"/>
                <w:szCs w:val="16"/>
              </w:rPr>
            </w:r>
          </w:p>
        </w:tc>
        <w:tc>
          <w:tcPr>
            <w:tcW w:w="174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 Narrow" w:hAnsi="Arial Narrow" w:cs="Arial Narrow"/>
                <w:b/>
                <w:caps/>
                <w:sz w:val="16"/>
                <w:szCs w:val="16"/>
              </w:rPr>
            </w:pPr>
            <w:r>
              <w:rPr>
                <w:rFonts w:cs="Arial Narrow" w:ascii="Arial Narrow" w:hAnsi="Arial Narrow"/>
                <w:b/>
                <w:caps/>
                <w:sz w:val="16"/>
                <w:szCs w:val="16"/>
              </w:rPr>
            </w:r>
          </w:p>
        </w:tc>
      </w:tr>
      <w:tr>
        <w:trPr>
          <w:trHeight w:val="374" w:hRule="atLeast"/>
        </w:trPr>
        <w:tc>
          <w:tcPr>
            <w:tcW w:w="1489" w:type="dxa"/>
            <w:gridSpan w:val="2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3" w:hanging="0"/>
              <w:jc w:val="right"/>
              <w:rPr>
                <w:szCs w:val="28"/>
              </w:rPr>
            </w:pP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от «</w:t>
            </w:r>
          </w:p>
        </w:tc>
        <w:tc>
          <w:tcPr>
            <w:tcW w:w="565" w:type="dxa"/>
            <w:gridSpan w:val="2"/>
            <w:tcBorders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449" w:type="dxa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8"/>
              </w:rPr>
            </w:pP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»</w:t>
            </w:r>
          </w:p>
        </w:tc>
        <w:tc>
          <w:tcPr>
            <w:tcW w:w="1727" w:type="dxa"/>
            <w:gridSpan w:val="3"/>
            <w:tcBorders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июль</w:t>
            </w:r>
          </w:p>
        </w:tc>
        <w:tc>
          <w:tcPr>
            <w:tcW w:w="538" w:type="dxa"/>
            <w:gridSpan w:val="2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76" w:hanging="0"/>
              <w:jc w:val="right"/>
              <w:rPr>
                <w:szCs w:val="28"/>
              </w:rPr>
            </w:pP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20</w:t>
            </w:r>
          </w:p>
        </w:tc>
        <w:tc>
          <w:tcPr>
            <w:tcW w:w="496" w:type="dxa"/>
            <w:tcBorders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52" w:hanging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bookmarkStart w:id="1" w:name="r09y"/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25</w:t>
            </w:r>
            <w:bookmarkEnd w:id="1"/>
          </w:p>
        </w:tc>
        <w:tc>
          <w:tcPr>
            <w:tcW w:w="574" w:type="dxa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г.</w:t>
            </w:r>
          </w:p>
        </w:tc>
        <w:tc>
          <w:tcPr>
            <w:tcW w:w="579" w:type="dxa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rFonts w:eastAsia="Source Han Sans CN Regular" w:cs="Lohit Devanagari"/>
                <w:kern w:val="2"/>
                <w:szCs w:val="28"/>
                <w:lang w:val="ru-RU" w:eastAsia="ru-RU" w:bidi="ru-RU"/>
              </w:rPr>
              <w:t>№</w:t>
            </w:r>
          </w:p>
        </w:tc>
        <w:tc>
          <w:tcPr>
            <w:tcW w:w="1931" w:type="dxa"/>
            <w:tcBorders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687" w:type="dxa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74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>
          <w:trHeight w:val="246" w:hRule="atLeast"/>
        </w:trPr>
        <w:tc>
          <w:tcPr>
            <w:tcW w:w="10035" w:type="dxa"/>
            <w:gridSpan w:val="15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83" w:hRule="exact"/>
        </w:trPr>
        <w:tc>
          <w:tcPr>
            <w:tcW w:w="928" w:type="dxa"/>
            <w:tcBorders/>
            <w:shd/>
            <w:tcMar>
              <w:left w:w="0" w:type="dxa"/>
              <w:right w:w="0" w:type="dxa"/>
            </w:tcMar>
          </w:tcPr>
          <w:p>
            <w:pPr>
              <w:pStyle w:val="Style55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Source Han Sans CN Regular" w:cs="Lohit Devanagari" w:ascii="Liberation Serif" w:hAnsi="Liberation Serif"/>
                <w:kern w:val="2"/>
                <w:sz w:val="18"/>
                <w:szCs w:val="18"/>
                <w:lang w:val="ru-RU" w:eastAsia="ru-RU" w:bidi="ru-RU"/>
              </w:rPr>
            </w:r>
          </w:p>
        </w:tc>
        <w:tc>
          <w:tcPr>
            <w:tcW w:w="928" w:type="dxa"/>
            <w:gridSpan w:val="2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gridSpan w:val="3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9" w:type="dxa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31" w:type="dxa"/>
            <w:gridSpan w:val="2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71" w:type="dxa"/>
            <w:gridSpan w:val="7"/>
            <w:tcBorders/>
            <w:shd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455" w:hRule="atLeast"/>
        </w:trPr>
        <w:tc>
          <w:tcPr>
            <w:tcW w:w="10209" w:type="dxa"/>
            <w:gridSpan w:val="16"/>
            <w:tcBorders/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kern w:val="2"/>
                <w:szCs w:val="28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kern w:val="2"/>
                <w:szCs w:val="28"/>
                <w:lang w:val="ru-RU" w:eastAsia="ru-RU" w:bidi="ru-RU"/>
              </w:rPr>
              <w:t>Об утверждении муниципальной программы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spacing w:lineRule="auto" w:line="276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spacing w:lineRule="auto" w:line="276"/>
        <w:ind w:firstLine="567"/>
        <w:jc w:val="both"/>
        <w:rPr>
          <w:szCs w:val="28"/>
        </w:rPr>
      </w:pPr>
      <w:r>
        <w:rPr>
          <w:color w:val="000000"/>
          <w:szCs w:val="28"/>
        </w:rPr>
        <w:t>Руководствуясь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Анжеро-Судженского городского округа от 16.09.2013 №1286 «Об утверждении Положения о муниципальных программах Анжеро-Судженского городского округа» (в редакции от 30.09.2013 №1395, от 28.05.2015 №883, от 26.08.2015 №1270, от 31.03.2016 №449, от 03.04.2017 №621, от 21.09.2017 №1647, от 14.08.2019 №996, от 01.06.2023 №490, от 11.12.2023 №1140), «Уставом муниципального образования «Анжеро-Судженский городской округ Кемеровской области — Кузбасса»:</w:t>
      </w:r>
    </w:p>
    <w:p>
      <w:pPr>
        <w:pStyle w:val="Normal"/>
        <w:spacing w:lineRule="auto" w:line="276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1. Утвердить прилагаемую Муниципальную программу «Социальная поддержка населения Анжеро-Судженского городского округа».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2. Признать утратившими силу следующие постановления администрации Анжеро-Судженского городского округа: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-от 10.02.2022 №183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2022-2024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-от 20.04.2022 №534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2022-2024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-от 30.06.2022 №948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2022-2024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-от 19.07.2022 №991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2022-2024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 от 31.08.2022 №1151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2022-2024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 от 19.10.2022 №1353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 xml:space="preserve"> </w:t>
      </w:r>
      <w:r>
        <w:rPr>
          <w:color w:val="000000"/>
          <w:szCs w:val="28"/>
          <w:shd w:fill="FFFFFF" w:val="clear"/>
        </w:rPr>
        <w:t>- от 02.11.2022 №1443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 от 15.11.2022 №1494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  <w:shd w:fill="FFFFFF" w:val="clear"/>
        </w:rPr>
        <w:t>- от 30.12.2022 №1750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30.12.2022 №1750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19.04.2023 №348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19.04.2023 №353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27.07.2023 №649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27.07.2023 №649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29.08.2023 №795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2022-2025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23.11.2023 №1061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2022-2026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22.03.2024 №204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2022-2026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28.06.2024 №471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2022-2026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30.08.2024 №751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2022-2026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26.12.2024 №1202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2022-2027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25.03.2025 №401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2022-2027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color w:val="000000"/>
          <w:szCs w:val="28"/>
        </w:rPr>
        <w:t>- от 21.07.2025 №730 О внесении изменений в постановление администрации Анжеро-Судженского городского округа от 20.08.2021 № 919 «Об утверждении муниципальной программы «Социальная поддержка населения Анжеро-Судженского городского округа» на 2022-2027 годы»</w:t>
      </w:r>
    </w:p>
    <w:p>
      <w:pPr>
        <w:pStyle w:val="Normal"/>
        <w:spacing w:lineRule="auto" w:line="276"/>
        <w:ind w:firstLine="567"/>
        <w:jc w:val="both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lineRule="auto" w:line="276"/>
        <w:ind w:firstLine="708"/>
        <w:jc w:val="both"/>
        <w:rPr>
          <w:szCs w:val="28"/>
        </w:rPr>
      </w:pPr>
      <w:r>
        <w:rPr>
          <w:color w:val="000000"/>
          <w:szCs w:val="28"/>
        </w:rPr>
        <w:t>3. Ответственному исполнителю (координатору) муниципальной программы разместить настоящее постановление в информационно-телекоммуникационной сети «Интернет» на официальных сайтах:</w:t>
      </w:r>
    </w:p>
    <w:p>
      <w:pPr>
        <w:pStyle w:val="Normal"/>
        <w:ind w:firstLine="709"/>
        <w:jc w:val="both"/>
        <w:rPr/>
      </w:pPr>
      <w:r>
        <w:rPr>
          <w:color w:val="000000"/>
          <w:szCs w:val="28"/>
        </w:rPr>
        <w:t xml:space="preserve">3.1. Министерства экономического развития Российской Федерации,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«Управление», электронный адрес: </w:t>
      </w:r>
      <w:hyperlink r:id="rId3">
        <w:r>
          <w:rPr>
            <w:rStyle w:val="-"/>
            <w:color w:val="000000"/>
            <w:szCs w:val="28"/>
            <w:lang w:val="en-US"/>
          </w:rPr>
          <w:t>http</w:t>
        </w:r>
        <w:r>
          <w:rPr>
            <w:rStyle w:val="-"/>
            <w:color w:val="000000"/>
            <w:szCs w:val="28"/>
          </w:rPr>
          <w:t>://</w:t>
        </w:r>
        <w:r>
          <w:rPr>
            <w:rStyle w:val="-"/>
            <w:color w:val="000000"/>
            <w:szCs w:val="28"/>
            <w:lang w:val="en-US"/>
          </w:rPr>
          <w:t>gasu</w:t>
        </w:r>
        <w:r>
          <w:rPr>
            <w:rStyle w:val="-"/>
            <w:color w:val="000000"/>
            <w:szCs w:val="28"/>
          </w:rPr>
          <w:t>.</w:t>
        </w:r>
        <w:r>
          <w:rPr>
            <w:rStyle w:val="-"/>
            <w:color w:val="000000"/>
            <w:szCs w:val="28"/>
            <w:lang w:val="en-US"/>
          </w:rPr>
          <w:t>gov</w:t>
        </w:r>
        <w:r>
          <w:rPr>
            <w:rStyle w:val="-"/>
            <w:color w:val="000000"/>
            <w:szCs w:val="28"/>
          </w:rPr>
          <w:t>/</w:t>
        </w:r>
        <w:r>
          <w:rPr>
            <w:rStyle w:val="-"/>
            <w:color w:val="000000"/>
            <w:szCs w:val="28"/>
            <w:lang w:val="en-US"/>
          </w:rPr>
          <w:t>ru</w:t>
        </w:r>
      </w:hyperlink>
      <w:r>
        <w:rPr>
          <w:color w:val="000000"/>
          <w:szCs w:val="28"/>
        </w:rPr>
        <w:t>.</w:t>
      </w:r>
    </w:p>
    <w:p>
      <w:pPr>
        <w:pStyle w:val="Normal"/>
        <w:ind w:firstLine="709"/>
        <w:jc w:val="both"/>
        <w:rPr/>
      </w:pPr>
      <w:r>
        <w:rPr>
          <w:color w:val="000000"/>
          <w:szCs w:val="28"/>
        </w:rPr>
        <w:t xml:space="preserve">3.2. Анжеро-Судженского городского округа в информационно-телекоммуникационной сети «Интернет», электронный адрес: </w:t>
      </w:r>
      <w:hyperlink r:id="rId4">
        <w:r>
          <w:rPr>
            <w:rStyle w:val="-"/>
            <w:color w:val="000000"/>
            <w:szCs w:val="28"/>
            <w:lang w:val="en-US"/>
          </w:rPr>
          <w:t>www</w:t>
        </w:r>
        <w:r>
          <w:rPr>
            <w:rStyle w:val="-"/>
            <w:color w:val="000000"/>
            <w:szCs w:val="28"/>
          </w:rPr>
          <w:t>.</w:t>
        </w:r>
        <w:r>
          <w:rPr>
            <w:rStyle w:val="-"/>
            <w:color w:val="000000"/>
            <w:szCs w:val="28"/>
            <w:lang w:val="en-US"/>
          </w:rPr>
          <w:t>anzhero</w:t>
        </w:r>
        <w:r>
          <w:rPr>
            <w:rStyle w:val="-"/>
            <w:color w:val="000000"/>
            <w:szCs w:val="28"/>
          </w:rPr>
          <w:t>.</w:t>
        </w:r>
        <w:r>
          <w:rPr>
            <w:rStyle w:val="-"/>
            <w:color w:val="000000"/>
            <w:szCs w:val="28"/>
            <w:lang w:val="en-US"/>
          </w:rPr>
          <w:t>ru</w:t>
        </w:r>
      </w:hyperlink>
      <w:r>
        <w:rPr>
          <w:color w:val="000000"/>
          <w:szCs w:val="28"/>
        </w:rPr>
        <w:t>.</w:t>
      </w:r>
    </w:p>
    <w:p>
      <w:pPr>
        <w:pStyle w:val="Normal"/>
        <w:ind w:firstLine="709"/>
        <w:jc w:val="both"/>
        <w:rPr>
          <w:szCs w:val="28"/>
        </w:rPr>
      </w:pPr>
      <w:r>
        <w:rPr>
          <w:color w:val="000000"/>
          <w:szCs w:val="28"/>
        </w:rPr>
        <w:t>4. Опубликовать данное постановление в массовой газете Анжеро-Судженского городского округа «Наш город».</w:t>
      </w:r>
    </w:p>
    <w:p>
      <w:pPr>
        <w:pStyle w:val="Normal"/>
        <w:spacing w:lineRule="auto" w:line="276"/>
        <w:ind w:firstLine="708"/>
        <w:jc w:val="both"/>
        <w:rPr>
          <w:szCs w:val="28"/>
        </w:rPr>
      </w:pPr>
      <w:r>
        <w:rPr>
          <w:szCs w:val="28"/>
        </w:rPr>
        <w:t xml:space="preserve">5.  </w:t>
      </w:r>
      <w:r>
        <w:rPr>
          <w:rFonts w:cs="Times New Roman"/>
          <w:color w:val="000000"/>
          <w:szCs w:val="28"/>
        </w:rPr>
        <w:t>Контроль за выполнением постановления возложить на заместителя главы городского округа по социальным вопросам.</w:t>
      </w:r>
    </w:p>
    <w:p>
      <w:pPr>
        <w:pStyle w:val="Normal"/>
        <w:spacing w:lineRule="auto" w:line="276"/>
        <w:ind w:firstLine="708"/>
        <w:jc w:val="both"/>
        <w:rPr>
          <w:szCs w:val="28"/>
        </w:rPr>
      </w:pPr>
      <w:r>
        <w:rPr>
          <w:szCs w:val="28"/>
        </w:rPr>
        <w:t>6. Настоящее постановление вступает в законную силу после официального опубликования и распространяет свое действие с 01.01.2026 года.</w:t>
      </w:r>
    </w:p>
    <w:p>
      <w:pPr>
        <w:pStyle w:val="Normal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outlineLvl w:val="1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>Глава  городского округа</w:t>
        <w:tab/>
        <w:t xml:space="preserve">                         </w:t>
        <w:tab/>
        <w:tab/>
        <w:tab/>
        <w:tab/>
        <w:t>Д.В. Ажичаков</w:t>
      </w:r>
    </w:p>
    <w:p>
      <w:pPr>
        <w:pStyle w:val="Normal"/>
        <w:jc w:val="righ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sectPr>
          <w:headerReference w:type="default" r:id="rId5"/>
          <w:footerReference w:type="default" r:id="rId6"/>
          <w:type w:val="nextPage"/>
          <w:pgSz w:w="11906" w:h="16838"/>
          <w:pgMar w:left="1134" w:right="567" w:gutter="0" w:header="567" w:top="1134" w:footer="567" w:bottom="1134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  <w:t>УТВЕРЖДЕНА</w:t>
      </w:r>
    </w:p>
    <w:p>
      <w:pPr>
        <w:pStyle w:val="ConsPlusNormal"/>
        <w:numPr>
          <w:ilvl w:val="0"/>
          <w:numId w:val="0"/>
        </w:numPr>
        <w:ind w:left="5652" w:firstLine="12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</w:t>
      </w:r>
      <w:r>
        <w:rPr>
          <w:rFonts w:cs="Times New Roman" w:ascii="Times New Roman" w:hAnsi="Times New Roman"/>
        </w:rPr>
        <w:t>постановлением  администрации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Анжеро-Судженского городского</w:t>
      </w:r>
    </w:p>
    <w:p>
      <w:pPr>
        <w:pStyle w:val="Normal"/>
        <w:jc w:val="right"/>
        <w:rPr/>
      </w:pPr>
      <w:r>
        <w:rPr>
          <w:color w:val="000000"/>
        </w:rPr>
        <w:t>от _________ №  ___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rPr>
          <w:szCs w:val="28"/>
        </w:rPr>
      </w:pPr>
      <w:r>
        <w:rPr>
          <w:b/>
          <w:bCs/>
          <w:szCs w:val="28"/>
        </w:rPr>
        <w:t xml:space="preserve">МУНИЦИПАЛЬНАЯ ПРОГРАММА </w:t>
      </w:r>
    </w:p>
    <w:p>
      <w:pPr>
        <w:pStyle w:val="Normal"/>
        <w:rPr>
          <w:szCs w:val="28"/>
        </w:rPr>
      </w:pPr>
      <w:r>
        <w:rPr>
          <w:b/>
          <w:bCs/>
          <w:szCs w:val="28"/>
        </w:rPr>
        <w:t>«СОЦИАЛЬНАЯ ПОДДЕРЖКА НАСЕЛЕНИЯ АНЖЕРО-СУДЖЕНСКОГО ГОРОДСКОГО ОКРУГА»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left"/>
        <w:rPr>
          <w:szCs w:val="28"/>
        </w:rPr>
      </w:pPr>
      <w:r>
        <w:rPr>
          <w:b/>
          <w:bCs/>
          <w:szCs w:val="28"/>
        </w:rPr>
        <w:t>1. Стратегические приоритеты муниципальной программы «Социальная поддержка населения Анжеро-Судженкого городского округа» (далее — муниципальная программа)</w:t>
      </w:r>
    </w:p>
    <w:p>
      <w:pPr>
        <w:pStyle w:val="Normal"/>
        <w:jc w:val="left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szCs w:val="28"/>
        </w:rPr>
      </w:pPr>
      <w:r>
        <w:rPr>
          <w:color w:val="000000"/>
          <w:szCs w:val="28"/>
        </w:rPr>
        <w:tab/>
        <w:t xml:space="preserve">Повышение уровня жизни населения Анжеро-Судженского городского округа, повышение качества и доступности социальных услуг, предоставляемых гражданам пожилого возраста и инвалидам, ветеранам и инвалидам боевых действий, членам их семей, муниципальным служащим, обеспечение населения качественной и доступной медицинской помощью,  </w:t>
      </w:r>
      <w:r>
        <w:rPr>
          <w:szCs w:val="28"/>
        </w:rPr>
        <w:t>поддержка и защита материнства и детства</w:t>
      </w:r>
      <w:r>
        <w:rPr>
          <w:color w:val="000000"/>
          <w:szCs w:val="28"/>
        </w:rPr>
        <w:t xml:space="preserve"> - основные направления социальной политики Анжеро-Судженского городского округа.</w:t>
      </w:r>
    </w:p>
    <w:p>
      <w:pPr>
        <w:pStyle w:val="Normal"/>
        <w:ind w:firstLine="540"/>
        <w:jc w:val="both"/>
        <w:rPr>
          <w:szCs w:val="28"/>
        </w:rPr>
      </w:pPr>
      <w:r>
        <w:rPr>
          <w:color w:val="000000"/>
          <w:szCs w:val="28"/>
        </w:rPr>
        <w:t>В Анжеро-Судженском городском округе в полном объеме обеспечена реализация мер социальной поддержки, установленных федеральным законодательством, и действует широкий спектр региональных мер социальной поддержки, направленных на повышение жизненного уровня как социально незащищенных категорий граждан, так и наиболее заслуженных жителей города. Право на получение социальной поддержки на основании действующего законодательства имеют около 1/3 жителей города.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Федеральным льготникам (участники и инвалиды Великой Отечественной войны, участники локальных войн, жители блокадного Ленинграда, бывшие малолетние узники фашистских лагерей, инвалиды, граждане, подвергшиеся радиационному воздействию), численность которых составляет около 9,5 тыс. человек, дополнительно к федеральным льготам за счет средств областного бюджета установлено право бесплатного проезда в общественном транспорте и другие льготы.</w:t>
      </w:r>
    </w:p>
    <w:p>
      <w:pPr>
        <w:pStyle w:val="Normal"/>
        <w:ind w:firstLine="540"/>
        <w:jc w:val="both"/>
        <w:rPr>
          <w:szCs w:val="28"/>
        </w:rPr>
      </w:pPr>
      <w:r>
        <w:rPr>
          <w:color w:val="000000"/>
          <w:szCs w:val="28"/>
        </w:rPr>
        <w:t>Региональным льготникам (ветераны труда, труженики тыла, реабилитированные лица и лица, признанные пострадавшими от политических репрессий), численность которых составляет около 6,8 тыс. человек, меры социальной поддержки предоставляются по выбору в денежном выражении (ЕДВ) или натуральной форме.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Около 1,0 тыс. жителей Анжеро-Судженского городского округа являются получателями пенсии Кузбасса. Минимальный размер пенсии Кузбасса составляет 900,0 рублей.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Малоимущим семьям и малоимущим одиноко проживающим гражданам предоставляется государственная социальная помощь в виде денежной выплаты на основании социального контракта. Данный вид государственной социальной помощи направлен на повышение стимулирования активных действий граждан по преодолению трудной жизненной ситуации, в которую они попали.</w:t>
      </w:r>
    </w:p>
    <w:p>
      <w:pPr>
        <w:pStyle w:val="Normal"/>
        <w:ind w:firstLine="540"/>
        <w:jc w:val="both"/>
        <w:rPr/>
      </w:pPr>
      <w:r>
        <w:rPr>
          <w:szCs w:val="28"/>
        </w:rPr>
        <w:t xml:space="preserve">С 01.01.2025 в Кемеровской области - Кузбассе в рамках национального </w:t>
      </w:r>
      <w:hyperlink r:id="rId7">
        <w:r>
          <w:rPr>
            <w:rStyle w:val="-"/>
            <w:szCs w:val="28"/>
          </w:rPr>
          <w:t>проекта</w:t>
        </w:r>
      </w:hyperlink>
      <w:r>
        <w:rPr>
          <w:szCs w:val="28"/>
        </w:rPr>
        <w:t xml:space="preserve"> «Семья» реализуюется региональный проект «Многодетная семья», </w:t>
      </w:r>
      <w:r>
        <w:rPr>
          <w:color w:val="C9211E"/>
          <w:szCs w:val="28"/>
        </w:rPr>
        <w:t xml:space="preserve"> </w:t>
      </w:r>
      <w:r>
        <w:rPr>
          <w:color w:val="000000"/>
          <w:szCs w:val="28"/>
        </w:rPr>
        <w:t>направленный на увеличение количества многодетных семей, создания благоприятных условий для жизнедеятельности семьи и финансового благополучия семей с детьми. В число</w:t>
      </w:r>
      <w:r>
        <w:rPr>
          <w:color w:val="C9211E"/>
          <w:szCs w:val="28"/>
        </w:rPr>
        <w:t xml:space="preserve"> </w:t>
      </w:r>
      <w:r>
        <w:rPr>
          <w:color w:val="000000"/>
          <w:szCs w:val="28"/>
        </w:rPr>
        <w:t>мероприятий указанного регионального проекта включены, успевшие зарекомендовать себя, меры социальной поддержки семей, имеющих детей. К указанным мерам относятся: государственная социальная помощь на основании социального контракта с приоритетным предоставлением многодетным семьям, предоставление средств областного материнского (семейного) капитала, меры социальной поддержки многодетных семей, воспитывающих трех и более несовершеннолетних детей.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ab/>
        <w:t>Областной материнский (семейный) капитал как дополнительная мера социальной поддержки семей, в которых родился (был усыновлен) третий ребенок или последующие дети, реализуется с 01.01.2011. Размер областного материнского (семейного) капитала составляет 130,0 тыс. рублей. Средства могут быть направлены на улучшение жилищных условий многодетных семей, а с декабря 2022 года - на получение образования детей.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 xml:space="preserve">В настоящее время в Анжеро-Судженском городском округе стабильно функционируют 2 муниципальных учреждения социального обслуживания населения (учреждение социального обслуживания граждан пожилого возраста и инвалидов, </w:t>
      </w:r>
      <w:r>
        <w:rPr>
          <w:color w:val="000000"/>
          <w:szCs w:val="28"/>
        </w:rPr>
        <w:t xml:space="preserve"> центр социальной помощи семье и детям) и 2 государственных стационарных учреждения (психоневрологический интернат, дом интернат для престарелых </w:t>
      </w:r>
      <w:r>
        <w:rPr>
          <w:szCs w:val="28"/>
        </w:rPr>
        <w:t>и инвалидов).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>С 01.01.2025 в Кемеровской области - Кузбассе в рамках национального проекта «Семья» реализуется региональный проект «Старшее поколение», направленный на организацию работы по созданию в Кемеровской области - Кузбассе системы долговременного ухода за гражданами пожилого возраста и инвалидами.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На территории муниципального образования функционирует школа ухода, пункт проката технических средств реабилитации, отделения дневного пребывания для граждан с когнитивными нарушениями и ограничениями мобильности.</w:t>
      </w:r>
    </w:p>
    <w:p>
      <w:pPr>
        <w:pStyle w:val="Normal"/>
        <w:jc w:val="both"/>
        <w:rPr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szCs w:val="28"/>
        </w:rPr>
        <w:t>Результатом использования субсидии при создании системы долговременного ухода за гражданами пожилого возраста и инвалидами является выполнение показателя «</w:t>
      </w:r>
      <w:r>
        <w:rPr>
          <w:rFonts w:eastAsia="Times New Roman" w:cs="PT Astra Serif"/>
          <w:color w:val="000000"/>
          <w:spacing w:val="-3"/>
          <w:szCs w:val="28"/>
          <w:lang w:eastAsia="zh-CN"/>
        </w:rPr>
        <w:t>Доля пожилых граждан и инвалидов, получающих долговременный уход, от общего числа нуждающихся в таком уходе граждан».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>Несмотря на реализуемые меры социальной поддержки, указанные группы населения нуждаются в дополнительной социальной поддержке, адресной помощи, реабилитации и интеграции их в общество. Наиболее острой проблемой этих граждан является нехватка денежных средств на неотложные нужды (приобретение одежды и обуви, топлива, лекарств, ремонт жилья и т.д.).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>Полноценная жизнедеятельность большинства инвалидов и граждан пожилого возраста невозможна без предоставления им различных видов помощи и услуг, соответствующих их социальным потребностям: они должны иметь возможность трудиться, отдыхать, иметь доступ к культурным ценностям, заниматься спортом, получать качественные социальные и медицинские услуги.</w:t>
      </w:r>
    </w:p>
    <w:p>
      <w:pPr>
        <w:pStyle w:val="ConsPlusNormal"/>
        <w:ind w:firstLine="540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>Решению проблем малоимущих и социально незащищенных категорий граждан, проживающих в Анжеро-Судженском городском округе, поможет настоящая Программа, предусматривающая меры социальной поддержки, направленные на улучшение качества жизни граждан, а также качества и доступности оказываемой им медицинской помощи.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ConsPlusNormal"/>
        <w:ind w:hanging="0"/>
        <w:jc w:val="both"/>
        <w:rPr>
          <w:rFonts w:ascii="PT Astra Serif" w:hAnsi="PT Astra Serif" w:eastAsia="Source Han Sans CN Regular" w:cs="Lohit Devanagari"/>
          <w:b/>
          <w:bCs/>
          <w:sz w:val="28"/>
          <w:szCs w:val="28"/>
          <w:lang w:bidi="ru-RU"/>
        </w:rPr>
      </w:pPr>
      <w:r>
        <w:rPr>
          <w:rFonts w:eastAsia="Source Han Sans CN Regular" w:cs="Lohit Devanagari" w:ascii="PT Astra Serif" w:hAnsi="PT Astra Serif"/>
          <w:b/>
          <w:bCs/>
          <w:i/>
          <w:iCs/>
          <w:sz w:val="28"/>
          <w:szCs w:val="28"/>
          <w:lang w:bidi="ru-RU"/>
        </w:rPr>
        <w:t>2. Описание приоритетов и целей государственной политики в сфере реализации муниципальной программы.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p>
      <w:pPr>
        <w:pStyle w:val="Normal"/>
        <w:ind w:firstLine="540"/>
        <w:jc w:val="both"/>
        <w:rPr>
          <w:szCs w:val="28"/>
        </w:rPr>
      </w:pPr>
      <w:r>
        <w:rPr>
          <w:color w:val="000000"/>
          <w:szCs w:val="28"/>
        </w:rPr>
        <w:t>Основной целью реализации программы является достижение уровня социального обеспечения граждан -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нуждаемости, не менее 25,3% к 2030 году.</w:t>
      </w:r>
    </w:p>
    <w:p>
      <w:pPr>
        <w:pStyle w:val="Normal"/>
        <w:ind w:firstLine="567"/>
        <w:jc w:val="both"/>
        <w:rPr>
          <w:szCs w:val="28"/>
        </w:rPr>
      </w:pPr>
      <w:r>
        <w:rPr>
          <w:color w:val="000000"/>
          <w:szCs w:val="28"/>
        </w:rPr>
        <w:t>В рамках достижения указанной цели определены следующие задачи:</w:t>
      </w:r>
    </w:p>
    <w:p>
      <w:pPr>
        <w:pStyle w:val="Normal"/>
        <w:numPr>
          <w:ilvl w:val="0"/>
          <w:numId w:val="3"/>
        </w:numPr>
        <w:ind w:left="720" w:hanging="360"/>
        <w:jc w:val="both"/>
        <w:rPr>
          <w:szCs w:val="28"/>
        </w:rPr>
      </w:pPr>
      <w:r>
        <w:rPr>
          <w:color w:val="000000"/>
          <w:szCs w:val="28"/>
        </w:rPr>
        <w:t xml:space="preserve">выполнить обязательства по социальной поддержке отдельных категорий граждан, граждан пожилого возраста и семей с детьми, оказавшихся в трудной жизненной ситуации, за счет оказания им целевой адресной помощи; </w:t>
      </w:r>
    </w:p>
    <w:p>
      <w:pPr>
        <w:pStyle w:val="ConsPlusCell"/>
        <w:numPr>
          <w:ilvl w:val="0"/>
          <w:numId w:val="3"/>
        </w:numPr>
        <w:ind w:left="720" w:hanging="360"/>
        <w:jc w:val="both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пенсию;</w:t>
      </w:r>
    </w:p>
    <w:p>
      <w:pPr>
        <w:pStyle w:val="ConsPlusCell"/>
        <w:numPr>
          <w:ilvl w:val="0"/>
          <w:numId w:val="3"/>
        </w:numPr>
        <w:ind w:left="720" w:hanging="360"/>
        <w:jc w:val="both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 xml:space="preserve">обеспечить равные возможности во всех сферах жизнедеятельности для инвалидов и других маломобильных групп населения; </w:t>
      </w:r>
    </w:p>
    <w:p>
      <w:pPr>
        <w:pStyle w:val="ConsPlusCell"/>
        <w:numPr>
          <w:ilvl w:val="0"/>
          <w:numId w:val="3"/>
        </w:numPr>
        <w:ind w:left="720" w:hanging="360"/>
        <w:jc w:val="both"/>
        <w:rPr>
          <w:rFonts w:ascii="PT Astra Serif" w:hAnsi="PT Astra Serif"/>
          <w:sz w:val="28"/>
          <w:szCs w:val="28"/>
        </w:rPr>
      </w:pPr>
      <w:r>
        <w:rPr>
          <w:rFonts w:cs="Times New Roman" w:ascii="PT Astra Serif" w:hAnsi="PT Astra Serif"/>
          <w:color w:val="000000"/>
          <w:sz w:val="28"/>
          <w:szCs w:val="28"/>
        </w:rPr>
        <w:t xml:space="preserve">обеспечить деятельность управления социальной защиты населения администрации Анжеро-Судженского городского округа;  </w:t>
      </w:r>
    </w:p>
    <w:p>
      <w:pPr>
        <w:pStyle w:val="ConsPlusCell"/>
        <w:numPr>
          <w:ilvl w:val="0"/>
          <w:numId w:val="3"/>
        </w:numPr>
        <w:ind w:left="720" w:hanging="36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 (Распоряжение Коллегии Администрации Кемеровской области от 18.01.2019г. № 14-р «Об утверждении   Плана мероприятий («Дорожной карты») «Создание в Кемеровской области – Кузбассе системы долговременного ухода за гражданами пожилого возраста и инвалидами»);</w:t>
      </w:r>
    </w:p>
    <w:p>
      <w:pPr>
        <w:pStyle w:val="Normal"/>
        <w:numPr>
          <w:ilvl w:val="0"/>
          <w:numId w:val="3"/>
        </w:numPr>
        <w:shd w:val="solid" w:color="FFFFFF"/>
        <w:ind w:left="720" w:hanging="360"/>
        <w:jc w:val="left"/>
        <w:rPr>
          <w:szCs w:val="28"/>
        </w:rPr>
      </w:pPr>
      <w:r>
        <w:rPr>
          <w:color w:val="000000"/>
          <w:szCs w:val="28"/>
        </w:rPr>
        <w:t>повысить уровень жизни отдельных категорий граждан за счет предоставления им мер социальной поддержки;</w:t>
      </w:r>
    </w:p>
    <w:p>
      <w:pPr>
        <w:pStyle w:val="Normal"/>
        <w:numPr>
          <w:ilvl w:val="0"/>
          <w:numId w:val="3"/>
        </w:numPr>
        <w:shd w:val="solid" w:color="FFFFFF"/>
        <w:ind w:left="720" w:hanging="360"/>
        <w:jc w:val="left"/>
        <w:rPr>
          <w:szCs w:val="28"/>
        </w:rPr>
      </w:pPr>
      <w:r>
        <w:rPr>
          <w:color w:val="000000"/>
          <w:szCs w:val="28"/>
        </w:rPr>
        <w:t>обеспечить систему здравоохранения высококвалифицированными кадрами.</w:t>
      </w:r>
    </w:p>
    <w:p>
      <w:pPr>
        <w:pStyle w:val="ConsPlusNormal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Normal"/>
        <w:ind w:firstLine="54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</w:r>
    </w:p>
    <w:p>
      <w:pPr>
        <w:pStyle w:val="Normal"/>
        <w:ind w:firstLine="540"/>
        <w:jc w:val="both"/>
        <w:rPr/>
      </w:pPr>
      <w:r>
        <w:rPr>
          <w:szCs w:val="28"/>
        </w:rPr>
        <w:t xml:space="preserve">Приоритеты и цели гмуниципальной программы соответствуют основным направлениям деятельности Министерства социальной защиты населения Кузбасса и </w:t>
      </w:r>
      <w:hyperlink r:id="rId8">
        <w:r>
          <w:rPr>
            <w:color w:val="0000FF"/>
            <w:szCs w:val="28"/>
          </w:rPr>
          <w:t>Указу</w:t>
        </w:r>
      </w:hyperlink>
      <w:r>
        <w:rPr>
          <w:szCs w:val="28"/>
        </w:rPr>
        <w:t xml:space="preserve"> Президента Российской Федерации о национальных целях развития Российской Федерации на период до 2030 года и на перспективу до 2036 года.</w:t>
      </w:r>
    </w:p>
    <w:p>
      <w:pPr>
        <w:pStyle w:val="Normal"/>
        <w:ind w:firstLine="540"/>
        <w:jc w:val="both"/>
        <w:rPr/>
      </w:pPr>
      <w:r>
        <w:rPr>
          <w:szCs w:val="28"/>
        </w:rPr>
        <w:t xml:space="preserve">В соответствии с национальными целями развития Российской Федерации на период до 2030 года и на перспективу до 2036 года, определенными </w:t>
      </w:r>
      <w:hyperlink r:id="rId9">
        <w:r>
          <w:rPr>
            <w:color w:val="0000FF"/>
            <w:szCs w:val="28"/>
          </w:rPr>
          <w:t>Указом</w:t>
        </w:r>
      </w:hyperlink>
      <w:r>
        <w:rPr>
          <w:szCs w:val="28"/>
        </w:rPr>
        <w:t xml:space="preserve"> Президента Российской Федерации 07.05.2024 N 309 "О национальных целях развития Российской Федерации на период до 2030 года и на перспективу до 2036 года", для обеспечения достижения национальной цели "Сохранение населения, укрепление здоровья и повышение благополучия людей, поддержка семьи" установлены целевые показатели и задачи:</w:t>
      </w:r>
    </w:p>
    <w:p>
      <w:pPr>
        <w:pStyle w:val="Normal"/>
        <w:numPr>
          <w:ilvl w:val="0"/>
          <w:numId w:val="4"/>
        </w:numPr>
        <w:ind w:left="0" w:hanging="0"/>
        <w:jc w:val="both"/>
        <w:rPr>
          <w:szCs w:val="28"/>
        </w:rPr>
      </w:pPr>
      <w:r>
        <w:rPr>
          <w:szCs w:val="28"/>
        </w:rPr>
        <w:t>увеличение к 2030 году численности граждан пожилого возраста и инвалидов, получающих услуги долговременного ухода из числа наиболее нуждающихся в таких услугах;</w:t>
      </w:r>
    </w:p>
    <w:p>
      <w:pPr>
        <w:pStyle w:val="Normal"/>
        <w:numPr>
          <w:ilvl w:val="0"/>
          <w:numId w:val="4"/>
        </w:numPr>
        <w:ind w:left="0" w:hanging="0"/>
        <w:jc w:val="both"/>
        <w:rPr>
          <w:szCs w:val="28"/>
        </w:rPr>
      </w:pPr>
      <w:r>
        <w:rPr>
          <w:rFonts w:eastAsia="Times New Roman" w:cs="Times New Roman"/>
          <w:color w:val="000000"/>
          <w:spacing w:val="-3"/>
          <w:szCs w:val="28"/>
          <w:lang w:eastAsia="zh-CN"/>
        </w:rPr>
        <w:t>поддержка граждан пожилого возраста и инвалидов;</w:t>
      </w:r>
    </w:p>
    <w:p>
      <w:pPr>
        <w:pStyle w:val="Normal"/>
        <w:numPr>
          <w:ilvl w:val="0"/>
          <w:numId w:val="4"/>
        </w:numPr>
        <w:ind w:left="0" w:hanging="0"/>
        <w:jc w:val="both"/>
        <w:rPr>
          <w:szCs w:val="28"/>
        </w:rPr>
      </w:pPr>
      <w:r>
        <w:rPr>
          <w:rFonts w:eastAsia="Times New Roman" w:cs="Times New Roman"/>
          <w:color w:val="000000"/>
          <w:spacing w:val="-3"/>
          <w:szCs w:val="28"/>
        </w:rPr>
        <w:t>увеличение количества многодетных семей;</w:t>
      </w:r>
    </w:p>
    <w:p>
      <w:pPr>
        <w:pStyle w:val="Normal"/>
        <w:numPr>
          <w:ilvl w:val="0"/>
          <w:numId w:val="4"/>
        </w:numPr>
        <w:ind w:left="0" w:hanging="0"/>
        <w:jc w:val="both"/>
        <w:rPr>
          <w:szCs w:val="28"/>
        </w:rPr>
      </w:pPr>
      <w:r>
        <w:rPr>
          <w:szCs w:val="28"/>
        </w:rPr>
        <w:t xml:space="preserve">снижение уровня бедности </w:t>
      </w:r>
    </w:p>
    <w:p>
      <w:pPr>
        <w:pStyle w:val="Normal"/>
        <w:spacing w:lineRule="auto" w:line="228"/>
        <w:jc w:val="left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ab/>
        <w:t>Достижение цели планируется путем предоставления адресной и качественной социальной поддержки отдельным категориям граждан</w:t>
      </w:r>
      <w:r>
        <w:rPr>
          <w:rFonts w:cs="Times New Roman"/>
          <w:color w:val="000000"/>
          <w:szCs w:val="28"/>
        </w:rPr>
        <w:t>, проживающих в Анжеро-Судженском городском округе, по указанным направлениям реализации муниципальной политики, а также объективным требованием комплексного подхода к их решению.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left"/>
        <w:rPr>
          <w:b/>
          <w:bCs/>
          <w:szCs w:val="28"/>
        </w:rPr>
      </w:pPr>
      <w:r>
        <w:rPr>
          <w:b/>
          <w:bCs/>
          <w:i/>
          <w:iCs/>
          <w:szCs w:val="28"/>
        </w:rPr>
        <w:t>3. Сведения о взаимосвязи со стратегическими приоритетами, целями и показателями государственных программ Кемеровской области - Кузбасса.</w:t>
      </w:r>
    </w:p>
    <w:p>
      <w:pPr>
        <w:pStyle w:val="Normal"/>
        <w:rPr>
          <w:b/>
          <w:bCs/>
          <w:szCs w:val="28"/>
        </w:rPr>
      </w:pPr>
      <w:r>
        <w:rPr>
          <w:b/>
          <w:bCs/>
          <w:i/>
          <w:iCs/>
          <w:szCs w:val="28"/>
        </w:rPr>
        <w:t xml:space="preserve"> 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В муниципальной программе отражена взаимосвязь с целями и показателями государственных программ Кемеровской области - Кузбасса:</w:t>
      </w:r>
    </w:p>
    <w:p>
      <w:pPr>
        <w:pStyle w:val="Normal"/>
        <w:spacing w:before="200" w:after="0"/>
        <w:ind w:firstLine="540"/>
        <w:jc w:val="both"/>
        <w:rPr/>
      </w:pPr>
      <w:r>
        <w:rPr>
          <w:szCs w:val="28"/>
        </w:rPr>
        <w:t xml:space="preserve">1. Государственная </w:t>
      </w:r>
      <w:hyperlink r:id="rId10">
        <w:r>
          <w:rPr>
            <w:color w:val="0000FF"/>
            <w:szCs w:val="28"/>
          </w:rPr>
          <w:t>программа</w:t>
        </w:r>
      </w:hyperlink>
      <w:r>
        <w:rPr>
          <w:szCs w:val="28"/>
        </w:rPr>
        <w:t xml:space="preserve"> Кемеровской области - Кузбасса «Социальная поддержка населения Кузбасса», утвержденная постановлением Правительства Кемеровской области - Кузбасса от 29.09.2023 N 641.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Государственная программа Кемеровской области - Кузбасса «Социальная поддержка населения Кузбасса» включает в себя следующее.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 xml:space="preserve">Цель 1. </w:t>
      </w:r>
      <w:r>
        <w:rPr>
          <w:rFonts w:eastAsia="Times New Roman" w:cs="Times New Roman"/>
          <w:color w:val="000000"/>
          <w:spacing w:val="-3"/>
          <w:szCs w:val="28"/>
        </w:rPr>
        <w:t>Поддержка граждан пожилого возраста и инвалидов.</w:t>
      </w:r>
    </w:p>
    <w:p>
      <w:pPr>
        <w:pStyle w:val="Normal"/>
        <w:ind w:firstLine="540"/>
        <w:jc w:val="both"/>
        <w:rPr>
          <w:szCs w:val="28"/>
        </w:rPr>
      </w:pPr>
      <w:r>
        <w:rPr>
          <w:rFonts w:eastAsia="Times New Roman" w:cs="Times New Roman"/>
          <w:color w:val="000000"/>
          <w:spacing w:val="-3"/>
          <w:szCs w:val="28"/>
        </w:rPr>
        <w:t xml:space="preserve">Цель 2. </w:t>
      </w:r>
      <w:r>
        <w:rPr>
          <w:rFonts w:eastAsia="Times New Roman" w:cs="PT Astra Serif"/>
          <w:color w:val="000000"/>
          <w:spacing w:val="-3"/>
          <w:szCs w:val="28"/>
        </w:rPr>
        <w:t>Увеличение количества многодетных семей.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Муниципальной программой предусмотрены декомпозированные с государственной программой Кемеровской области - Кузбасса "Социальная поддержка населения Кузбасса" показатели:</w:t>
      </w:r>
    </w:p>
    <w:p>
      <w:pPr>
        <w:pStyle w:val="Normal"/>
        <w:ind w:firstLine="540"/>
        <w:jc w:val="both"/>
        <w:rPr>
          <w:rFonts w:eastAsia="Times New Roman" w:cs="PT Astra Serif"/>
          <w:color w:val="000000"/>
          <w:spacing w:val="-3"/>
          <w:szCs w:val="28"/>
          <w:lang w:eastAsia="zh-CN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Доля пожилых граждан и инвалидов, получающих долговременный уход, от общего числа нуждающихся в таком уходе граждан;</w:t>
      </w:r>
    </w:p>
    <w:p>
      <w:pPr>
        <w:pStyle w:val="Normal"/>
        <w:ind w:firstLine="540"/>
        <w:jc w:val="both"/>
        <w:rPr>
          <w:rFonts w:eastAsia="Times New Roman" w:cs="PT Astra Serif"/>
          <w:color w:val="000000"/>
          <w:spacing w:val="-3"/>
          <w:szCs w:val="28"/>
          <w:lang w:eastAsia="zh-CN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Доля граждан, охваченных государственной социальной помощью на основании социального контракта, в общей численности малоимущих граждан.</w:t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Показатели муниципальной программы направлены на повышение благосостояния граждан Анжеро-Судженского городского округа и на снижение бедности, на повышение качества и доступности социальных услуг.</w:t>
      </w:r>
    </w:p>
    <w:p>
      <w:pPr>
        <w:pStyle w:val="Normal"/>
        <w:rPr>
          <w:i/>
          <w:i/>
          <w:iCs/>
          <w:szCs w:val="28"/>
        </w:rPr>
      </w:pPr>
      <w:r>
        <w:rPr>
          <w:i/>
          <w:iCs/>
          <w:szCs w:val="28"/>
        </w:rPr>
      </w:r>
    </w:p>
    <w:p>
      <w:pPr>
        <w:pStyle w:val="Normal"/>
        <w:spacing w:lineRule="auto" w:line="228"/>
        <w:jc w:val="left"/>
        <w:rPr>
          <w:b/>
          <w:bCs/>
          <w:szCs w:val="28"/>
        </w:rPr>
      </w:pPr>
      <w:r>
        <w:rPr>
          <w:rFonts w:eastAsia="Times New Roman" w:cs="PT Astra Serif"/>
          <w:b/>
          <w:bCs/>
          <w:i/>
          <w:iCs/>
          <w:color w:val="000000"/>
          <w:spacing w:val="-3"/>
          <w:szCs w:val="28"/>
          <w:lang w:eastAsia="zh-CN"/>
        </w:rPr>
        <w:t>4. Задачи муниципального управления Анжеро-Судженского городского округа, способы их эффективного решения в соответствующей отрасли экономики и сфере муниципального управления АСГО.</w:t>
      </w:r>
    </w:p>
    <w:p>
      <w:pPr>
        <w:pStyle w:val="Normal"/>
        <w:spacing w:lineRule="auto" w:line="228"/>
        <w:jc w:val="left"/>
        <w:rPr>
          <w:szCs w:val="28"/>
        </w:rPr>
      </w:pPr>
      <w:r>
        <w:rPr>
          <w:rFonts w:eastAsia="Times New Roman" w:cs="PT Astra Serif"/>
          <w:i/>
          <w:iCs/>
          <w:color w:val="000000"/>
          <w:spacing w:val="-3"/>
          <w:szCs w:val="28"/>
          <w:lang w:eastAsia="zh-CN"/>
        </w:rPr>
        <w:t xml:space="preserve"> 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Муниципальная  программа направлена на п</w:t>
      </w:r>
      <w:r>
        <w:rPr>
          <w:rFonts w:eastAsia="Times New Roman" w:cs="PT Astra Serif"/>
          <w:color w:val="000000"/>
          <w:spacing w:val="-3"/>
          <w:szCs w:val="28"/>
          <w:lang w:eastAsia="zh-CN"/>
        </w:rPr>
        <w:t>овышение эффективности системы социальной поддержки и доступности социального обслуживания населения в Анжеро-Судженском городском округе.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В соответствии с установленной целью сформированы показатели: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Доля граждан, получивших адресную помощь, от общей численности обратившихся граждан;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Кол-во временно трудоустроенных граждан, состоящих на учете в службе занятости;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Кол-во временно трудоустроенных граждан, состоящих на учете в службе занятости;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cs="PT Astra Serif"/>
          <w:color w:val="000000"/>
          <w:szCs w:val="28"/>
        </w:rPr>
        <w:t xml:space="preserve">Кол-во семей граждан, </w:t>
      </w:r>
      <w:r>
        <w:rPr>
          <w:rFonts w:cs="PT Astra Serif"/>
          <w:iCs/>
          <w:color w:val="000000"/>
          <w:szCs w:val="28"/>
        </w:rPr>
        <w:t xml:space="preserve">принимавших (принимающих) участие в боевых действиях в </w:t>
      </w: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операции, обратившихся за поддержкой;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лиц, замещавших муниципальные должности и должности муниципальной службы муниципального образования АСГО, получившие поддержку в виде пенсии за выслугу лет, от общей численности лиц, обратившихся в управление социальной защиты населения АСГО за назначением данной выплаты;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инвалидов и детей - инвалидов, принимающих участие в мероприятиях культурной жизни города и спортивных соревнованиях от общего числа инвалидов общественных организаций;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детей-инвалидов, которым созданы условия для получения качественного дошкольного, начального общего, основного общего, среднего общего образования от общей численности детей-инвалидов дошкольного и школьного возраста;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освоенных средств в общем объеме средств, предусмотренных на реализацию полномочий управления, как исполнительного органа государственной власти отраслевой компетенции;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освоенных средств в общем объеме средств, предусмотренных на обеспечение  содержания муниципальных учреждений социального обслуживания;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spacing w:val="-3"/>
          <w:szCs w:val="28"/>
          <w:lang w:eastAsia="zh-CN"/>
        </w:rPr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населения;</w:t>
      </w:r>
    </w:p>
    <w:p>
      <w:pPr>
        <w:pStyle w:val="Normal"/>
        <w:numPr>
          <w:ilvl w:val="0"/>
          <w:numId w:val="5"/>
        </w:numPr>
        <w:spacing w:lineRule="auto" w:line="228"/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пожилых граждан и инвалидов, получающих долговременный уход, от общего числа нуждающихся в таком уходе гражда;</w:t>
      </w:r>
    </w:p>
    <w:p>
      <w:pPr>
        <w:pStyle w:val="Normal"/>
        <w:numPr>
          <w:ilvl w:val="0"/>
          <w:numId w:val="5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граждан, получающих социальную поддержку в органах социальной защиты населения, в общей численности населения  Анжеро-Судженского городского округа;</w:t>
      </w:r>
    </w:p>
    <w:p>
      <w:pPr>
        <w:pStyle w:val="Normal"/>
        <w:numPr>
          <w:ilvl w:val="0"/>
          <w:numId w:val="5"/>
        </w:numPr>
        <w:spacing w:lineRule="auto" w:line="228"/>
        <w:ind w:left="720" w:hanging="360"/>
        <w:jc w:val="left"/>
        <w:rPr>
          <w:szCs w:val="28"/>
        </w:rPr>
      </w:pPr>
      <w:r>
        <w:rPr>
          <w:rFonts w:eastAsia="Times New Roman" w:cs="PT Astra Serif"/>
          <w:iCs/>
          <w:color w:val="000000"/>
          <w:spacing w:val="-3"/>
          <w:szCs w:val="28"/>
          <w:lang w:eastAsia="zh-CN"/>
        </w:rPr>
        <w:t>Доля граждан, охваченных государственной социальной помощью на основании социального контракта, в общей численности малоимущих граждан;</w:t>
      </w:r>
    </w:p>
    <w:p>
      <w:pPr>
        <w:pStyle w:val="Normal"/>
        <w:numPr>
          <w:ilvl w:val="0"/>
          <w:numId w:val="5"/>
        </w:numPr>
        <w:tabs>
          <w:tab w:val="clear" w:pos="709"/>
          <w:tab w:val="center" w:pos="2410" w:leader="none"/>
          <w:tab w:val="center" w:pos="5670" w:leader="none"/>
        </w:tabs>
        <w:ind w:left="720" w:hanging="360"/>
        <w:jc w:val="left"/>
        <w:rPr>
          <w:szCs w:val="28"/>
        </w:rPr>
      </w:pPr>
      <w:r>
        <w:rPr>
          <w:rFonts w:cs="PT Astra Serif"/>
          <w:iCs/>
          <w:color w:val="000000"/>
          <w:szCs w:val="28"/>
          <w:lang w:eastAsia="zh-CN"/>
        </w:rPr>
        <w:t>Обеспеченность врачами.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ab/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ab/>
        <w:t>Для достижения целей муниципальной программы предусмотрено решение следующих задач: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0" w:hanging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  <w:lang w:eastAsia="zh-CN"/>
        </w:rPr>
        <w:t>Выполнение обязательств по социальной поддержке отдельных категорий граждан, оказавшихся в трудной жизненной ситуации, за счет оказания им целевой адресной помощи;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0" w:hanging="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деятельности;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0" w:hanging="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Выполние обязательств по социальной поддержке инвалидов, состоящих на учете в службе занятости;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0" w:hanging="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Выполние обязательств по социальной поддержки семей мобилизованных и членов семей, погибших (умерших) при выполнении задач в ходе специальной военной операции;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0" w:hanging="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Осуществление поддержки лиц, замещавших муниципальные должности и должности муниципальной службы по окончанию трудовой деятельности при выходе на пенсию;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0" w:hanging="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Обеспечение равных возможностей во всех сферах жизнедеятельности для инвалидов и других маломобильных групп населения: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720" w:hanging="36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Обеспечение выполнение полномочий управления социальной защиты населения администрации Анжеро-Судженского городского округа;</w:t>
      </w:r>
    </w:p>
    <w:p>
      <w:pPr>
        <w:pStyle w:val="Normal"/>
        <w:numPr>
          <w:ilvl w:val="0"/>
          <w:numId w:val="6"/>
        </w:numPr>
        <w:shd w:val="solid" w:color="FFFFFF"/>
        <w:ind w:left="720" w:hanging="360"/>
        <w:jc w:val="left"/>
        <w:rPr>
          <w:szCs w:val="28"/>
        </w:rPr>
      </w:pPr>
      <w:r>
        <w:rPr>
          <w:rFonts w:eastAsia="Times New Roman"/>
          <w:color w:val="000000"/>
          <w:spacing w:val="-3"/>
          <w:szCs w:val="28"/>
          <w:lang w:eastAsia="zh-CN"/>
        </w:rPr>
        <w:t>Обеспечение деятельности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карты»;</w:t>
      </w:r>
    </w:p>
    <w:p>
      <w:pPr>
        <w:pStyle w:val="Normal"/>
        <w:numPr>
          <w:ilvl w:val="0"/>
          <w:numId w:val="6"/>
        </w:numPr>
        <w:ind w:left="720" w:hanging="360"/>
        <w:jc w:val="left"/>
        <w:rPr>
          <w:szCs w:val="28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Разработка и реализация программы системной поддержки и повышения качества жизни граждан старшего поколения;</w:t>
      </w:r>
    </w:p>
    <w:p>
      <w:pPr>
        <w:pStyle w:val="Normal"/>
        <w:numPr>
          <w:ilvl w:val="0"/>
          <w:numId w:val="6"/>
        </w:numPr>
        <w:spacing w:lineRule="auto" w:line="228"/>
        <w:ind w:left="720" w:hanging="360"/>
        <w:jc w:val="left"/>
        <w:rPr>
          <w:szCs w:val="28"/>
        </w:rPr>
      </w:pPr>
      <w:r>
        <w:rPr>
          <w:rFonts w:eastAsia="Times New Roman" w:cs="PT Astra Serif"/>
          <w:color w:val="000000"/>
          <w:spacing w:val="-3"/>
          <w:szCs w:val="28"/>
          <w:lang w:eastAsia="zh-CN"/>
        </w:rPr>
        <w:t>Поддержка граждан пожилого возраста и инвалидов;</w:t>
      </w:r>
    </w:p>
    <w:p>
      <w:pPr>
        <w:pStyle w:val="ConsPlusNormal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720" w:hanging="36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z w:val="28"/>
          <w:szCs w:val="28"/>
          <w:lang w:eastAsia="zh-CN"/>
        </w:rPr>
        <w:t>Повысшение уровеня жизни отдельных категорий граждан за счет предоставления им мер социальной поддержки;</w:t>
      </w:r>
    </w:p>
    <w:p>
      <w:pPr>
        <w:pStyle w:val="Normal"/>
        <w:numPr>
          <w:ilvl w:val="0"/>
          <w:numId w:val="6"/>
        </w:numPr>
        <w:spacing w:lineRule="auto" w:line="228"/>
        <w:ind w:left="720" w:hanging="360"/>
        <w:jc w:val="left"/>
        <w:rPr>
          <w:szCs w:val="28"/>
        </w:rPr>
      </w:pPr>
      <w:r>
        <w:rPr>
          <w:rFonts w:eastAsia="Times New Roman" w:cs="PT Astra Serif"/>
          <w:color w:val="000000"/>
          <w:spacing w:val="-3"/>
          <w:szCs w:val="28"/>
        </w:rPr>
        <w:t>Увеличение количества многодетных семей;</w:t>
      </w:r>
    </w:p>
    <w:p>
      <w:pPr>
        <w:pStyle w:val="ConsPlusNonformat"/>
        <w:numPr>
          <w:ilvl w:val="0"/>
          <w:numId w:val="6"/>
        </w:numPr>
        <w:tabs>
          <w:tab w:val="clear" w:pos="709"/>
          <w:tab w:val="center" w:pos="2410" w:leader="none"/>
          <w:tab w:val="center" w:pos="5670" w:leader="none"/>
        </w:tabs>
        <w:ind w:left="720" w:hanging="360"/>
        <w:rPr>
          <w:rFonts w:ascii="PT Astra Serif" w:hAnsi="PT Astra Serif"/>
          <w:sz w:val="28"/>
          <w:szCs w:val="28"/>
        </w:rPr>
      </w:pPr>
      <w:r>
        <w:rPr>
          <w:rFonts w:cs="PT Astra Serif" w:ascii="PT Astra Serif" w:hAnsi="PT Astra Serif"/>
          <w:color w:val="000000"/>
          <w:sz w:val="28"/>
          <w:szCs w:val="28"/>
        </w:rPr>
        <w:t>Обеспечить систему здравоохранения высококвалифицированными кадрами.</w:t>
      </w:r>
    </w:p>
    <w:p>
      <w:pPr>
        <w:pStyle w:val="ConsPlusNonformat"/>
        <w:tabs>
          <w:tab w:val="clear" w:pos="709"/>
          <w:tab w:val="center" w:pos="2410" w:leader="none"/>
          <w:tab w:val="center" w:pos="567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ind w:firstLine="540"/>
        <w:jc w:val="both"/>
        <w:rPr>
          <w:szCs w:val="28"/>
        </w:rPr>
      </w:pPr>
      <w:r>
        <w:rPr>
          <w:szCs w:val="28"/>
        </w:rPr>
        <w:t>Достижение целей муниципальной программы также обеспечивается посредством реализации системы мероприятий, предусмотренных:</w:t>
      </w:r>
    </w:p>
    <w:p>
      <w:pPr>
        <w:pStyle w:val="Normal"/>
        <w:spacing w:before="200" w:after="0"/>
        <w:ind w:firstLine="540"/>
        <w:jc w:val="both"/>
        <w:rPr>
          <w:szCs w:val="28"/>
        </w:rPr>
      </w:pPr>
      <w:r>
        <w:rPr>
          <w:szCs w:val="28"/>
        </w:rPr>
        <w:t>региональным проектом "Многодетная семья" на 2025 - 2030 годы, реализуемым в рамках реализации  национального проекта «Семья»;</w:t>
      </w:r>
    </w:p>
    <w:p>
      <w:pPr>
        <w:pStyle w:val="Normal"/>
        <w:spacing w:before="200" w:after="0"/>
        <w:ind w:firstLine="540"/>
        <w:jc w:val="both"/>
        <w:rPr>
          <w:szCs w:val="28"/>
        </w:rPr>
      </w:pPr>
      <w:r>
        <w:rPr>
          <w:bCs/>
          <w:szCs w:val="28"/>
        </w:rPr>
        <w:t>региональным проектом «Старшее поколение» на 2025 - 2030 годы, реализуемым в рамках реализации национального проекта "Семья".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jc w:val="left"/>
        <w:rPr>
          <w:b/>
          <w:bCs/>
          <w:szCs w:val="28"/>
        </w:rPr>
      </w:pPr>
      <w:r>
        <w:rPr>
          <w:b/>
          <w:bCs/>
          <w:szCs w:val="28"/>
        </w:rPr>
        <w:t>5. Методика оценки эффективности реализации муниципальной программы</w:t>
      </w:r>
    </w:p>
    <w:p>
      <w:pPr>
        <w:pStyle w:val="Normal"/>
        <w:rPr>
          <w:b/>
          <w:bCs/>
          <w:szCs w:val="28"/>
        </w:rPr>
      </w:pPr>
      <w:r>
        <w:rPr>
          <w:b/>
          <w:bCs/>
          <w:szCs w:val="28"/>
        </w:rPr>
      </w:r>
      <w:bookmarkStart w:id="2" w:name="Par1392_Копия_1_Копия_2_Копия_1_Копия_2_"/>
      <w:bookmarkStart w:id="3" w:name="Par1392_Копия_1_Копия_2_Копия_1"/>
      <w:bookmarkStart w:id="4" w:name="Par1392_Копия_1_Копия_2"/>
      <w:bookmarkStart w:id="5" w:name="Par1392_Копия_1_Копия_1"/>
      <w:bookmarkStart w:id="6" w:name="Par1392"/>
      <w:bookmarkStart w:id="7" w:name="Par1392_Копия_1"/>
      <w:bookmarkStart w:id="8" w:name="Par1392_Копия_1_Копия_2_Копия_1_Копия_1"/>
      <w:bookmarkStart w:id="9" w:name="Par1392_Копия_1_Копия_2_Копия_1_Копия_2"/>
      <w:bookmarkStart w:id="10" w:name="Par1392_Копия_1_Копия_2_Копия_1_Копия_2_"/>
      <w:bookmarkStart w:id="11" w:name="Par1392_Копия_1_Копия_2_Копия_1"/>
      <w:bookmarkStart w:id="12" w:name="Par1392_Копия_1_Копия_2"/>
      <w:bookmarkStart w:id="13" w:name="Par1392_Копия_1_Копия_1"/>
      <w:bookmarkStart w:id="14" w:name="Par1392"/>
      <w:bookmarkStart w:id="15" w:name="Par1392_Копия_1"/>
      <w:bookmarkStart w:id="16" w:name="Par1392_Копия_1_Копия_2_Копия_1_Копия_1"/>
      <w:bookmarkStart w:id="17" w:name="Par1392_Копия_1_Копия_2_Копия_1_Копия_2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sectPr>
          <w:headerReference w:type="default" r:id="rId11"/>
          <w:headerReference w:type="first" r:id="rId12"/>
          <w:footerReference w:type="default" r:id="rId13"/>
          <w:footerReference w:type="first" r:id="rId14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ind w:firstLine="709"/>
        <w:jc w:val="both"/>
        <w:rPr>
          <w:szCs w:val="28"/>
        </w:rPr>
      </w:pPr>
      <w:bookmarkStart w:id="18" w:name="Par1392_Копия_1_Копия_2_Копия_1_Копия_2_"/>
      <w:bookmarkEnd w:id="18"/>
      <w:r>
        <w:rPr>
          <w:szCs w:val="28"/>
        </w:rPr>
        <w:t>Оценка эффективности реализации программы (комплексной программы) осуществляется на основании пункта VIII положения о порядке разработки и реализации муниципальных программ Анжеро-Судженского городского округа Кемеровской области - Кузбасса, утверждённого постановлением администрации Анжеро-Судженского городского округа от  15.07.2025г. № 721.</w:t>
      </w:r>
    </w:p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rPr>
          <w:rFonts w:cs="Times New Roman" w:ascii="PT Astra Serif" w:hAnsi="PT Astra Serif"/>
          <w:color w:val="000000"/>
        </w:rPr>
        <w:t>Приложение № 1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tabs>
          <w:tab w:val="clear" w:pos="709"/>
          <w:tab w:val="left" w:pos="6195" w:leader="none"/>
          <w:tab w:val="left" w:pos="7065" w:leader="none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>
      <w:pPr>
        <w:pStyle w:val="Normal"/>
        <w:tabs>
          <w:tab w:val="clear" w:pos="709"/>
          <w:tab w:val="left" w:pos="6195" w:leader="none"/>
          <w:tab w:val="left" w:pos="7065" w:leader="none"/>
        </w:tabs>
        <w:rPr>
          <w:b/>
          <w:bCs/>
          <w:szCs w:val="28"/>
        </w:rPr>
      </w:pPr>
      <w:r>
        <w:rPr>
          <w:b/>
          <w:bCs/>
          <w:szCs w:val="28"/>
        </w:rPr>
        <w:t>Реестр документов, входящих в состав муниципальной программы</w:t>
      </w:r>
    </w:p>
    <w:p>
      <w:pPr>
        <w:pStyle w:val="Normal"/>
        <w:tabs>
          <w:tab w:val="clear" w:pos="709"/>
          <w:tab w:val="left" w:pos="6195" w:leader="none"/>
          <w:tab w:val="left" w:pos="7065" w:leader="none"/>
        </w:tabs>
        <w:rPr>
          <w:szCs w:val="28"/>
        </w:rPr>
      </w:pPr>
      <w:r>
        <w:rPr>
          <w:szCs w:val="28"/>
        </w:rPr>
      </w:r>
    </w:p>
    <w:tbl>
      <w:tblPr>
        <w:tblStyle w:val="TableNormal"/>
        <w:tblW w:w="14158" w:type="dxa"/>
        <w:jc w:val="left"/>
        <w:tblInd w:w="27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60"/>
        <w:gridCol w:w="2979"/>
        <w:gridCol w:w="2027"/>
        <w:gridCol w:w="2127"/>
        <w:gridCol w:w="1999"/>
        <w:gridCol w:w="1904"/>
        <w:gridCol w:w="2361"/>
      </w:tblGrid>
      <w:tr>
        <w:trPr>
          <w:trHeight w:val="1113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№</w:t>
            </w:r>
            <w:r>
              <w:rPr>
                <w:rFonts w:eastAsia="Times New Roman" w:cs="Times New Roman" w:ascii="Times New Roman" w:hAnsi="Times New Roman"/>
                <w:spacing w:val="-2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п/п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Тип</w:t>
            </w:r>
            <w:r>
              <w:rPr>
                <w:rFonts w:eastAsia="Times New Roman" w:cs="Times New Roman" w:ascii="Times New Roman" w:hAnsi="Times New Roman"/>
                <w:spacing w:val="-2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документа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vertAlign w:val="superscript"/>
                <w:lang w:val="ru-RU" w:bidi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Вид</w:t>
            </w:r>
            <w:r>
              <w:rPr>
                <w:rFonts w:eastAsia="Times New Roman" w:cs="Times New Roman" w:ascii="Times New Roman" w:hAnsi="Times New Roman"/>
                <w:spacing w:val="-3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документа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vertAlign w:val="superscript"/>
                <w:lang w:val="ru-RU" w:bidi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hanging="142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1"/>
                <w:kern w:val="2"/>
                <w:sz w:val="20"/>
                <w:szCs w:val="20"/>
                <w:lang w:val="ru-RU" w:bidi="ru-RU"/>
              </w:rPr>
              <w:t>Наименование</w:t>
            </w:r>
            <w:r>
              <w:rPr>
                <w:rFonts w:eastAsia="Times New Roman" w:cs="Times New Roman" w:ascii="Times New Roman" w:hAnsi="Times New Roman"/>
                <w:spacing w:val="-46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документа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vertAlign w:val="superscript"/>
                <w:lang w:val="ru-RU" w:bidi="ru-RU"/>
              </w:rPr>
              <w:t>3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Реквизиты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vertAlign w:val="superscript"/>
                <w:lang w:val="ru-RU" w:bidi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Разработчик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vertAlign w:val="superscript"/>
                <w:lang w:val="ru-RU" w:bidi="ru-RU"/>
              </w:rPr>
              <w:t>5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Гиперссылка</w:t>
            </w:r>
            <w:r>
              <w:rPr>
                <w:rFonts w:eastAsia="Times New Roman" w:cs="Times New Roman" w:ascii="Times New Roman" w:hAnsi="Times New Roman"/>
                <w:spacing w:val="1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на</w:t>
            </w:r>
            <w:r>
              <w:rPr>
                <w:rFonts w:eastAsia="Times New Roman" w:cs="Times New Roman" w:ascii="Times New Roman" w:hAnsi="Times New Roman"/>
                <w:spacing w:val="-2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текст</w:t>
            </w:r>
            <w:r>
              <w:rPr>
                <w:rFonts w:eastAsia="Times New Roman" w:cs="Times New Roman" w:ascii="Times New Roman" w:hAnsi="Times New Roman"/>
                <w:spacing w:val="-3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документа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vertAlign w:val="superscript"/>
                <w:lang w:val="ru-RU" w:bidi="ru-RU"/>
              </w:rPr>
              <w:t>6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4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6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w w:val="99"/>
                <w:kern w:val="2"/>
                <w:sz w:val="20"/>
                <w:szCs w:val="20"/>
                <w:lang w:val="ru-RU" w:bidi="ru-RU"/>
              </w:rPr>
              <w:t>7</w:t>
            </w:r>
          </w:p>
        </w:tc>
      </w:tr>
      <w:tr>
        <w:trPr>
          <w:trHeight w:val="405" w:hRule="atLeast"/>
        </w:trPr>
        <w:tc>
          <w:tcPr>
            <w:tcW w:w="14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pacing w:val="-4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pacing w:val="-4"/>
                <w:kern w:val="2"/>
                <w:sz w:val="20"/>
                <w:szCs w:val="20"/>
                <w:lang w:val="ru-RU" w:bidi="ru-RU"/>
              </w:rPr>
              <w:t>1. М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kern w:val="2"/>
                <w:sz w:val="20"/>
                <w:szCs w:val="20"/>
                <w:lang w:val="ru-RU" w:bidi="ru-RU"/>
              </w:rPr>
              <w:t>униципальная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pacing w:val="-3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kern w:val="2"/>
                <w:sz w:val="20"/>
                <w:szCs w:val="20"/>
                <w:lang w:val="ru-RU" w:bidi="ru-RU"/>
              </w:rPr>
              <w:t>программа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pacing w:val="-2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kern w:val="2"/>
                <w:sz w:val="20"/>
                <w:szCs w:val="20"/>
                <w:lang w:val="ru-RU" w:bidi="ru-RU"/>
              </w:rPr>
              <w:t>«Социальная поддержка населения Анжеро-Судженского городского округа»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1.1.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Паспорт муниципальной программы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От</w:t>
            </w:r>
          </w:p>
          <w:p>
            <w:pPr>
              <w:pStyle w:val="TableParagraph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2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bookmarkStart w:id="19" w:name="__DdeLink__5547_857802040"/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  <w:bookmarkEnd w:id="19"/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left="4253" w:hanging="0"/>
              <w:jc w:val="right"/>
              <w:rPr>
                <w:color w:val="000000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309" w:hRule="atLeast"/>
        </w:trPr>
        <w:tc>
          <w:tcPr>
            <w:tcW w:w="14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4"/>
                <w:kern w:val="2"/>
                <w:sz w:val="20"/>
                <w:szCs w:val="20"/>
                <w:lang w:val="ru-RU" w:bidi="ru-RU"/>
              </w:rPr>
              <w:t>2.</w:t>
            </w:r>
            <w:r>
              <w:rPr>
                <w:rFonts w:eastAsia="Times New Roman" w:cs="Times New Roman" w:ascii="Times New Roman" w:hAnsi="Times New Roman"/>
                <w:i/>
                <w:iCs/>
                <w:spacing w:val="-4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 xml:space="preserve"> Комплекс процессных мероприятий «Милосердие»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2.1.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 xml:space="preserve">Паспорт комплекса процессных мероприятий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kern w:val="2"/>
                <w:sz w:val="20"/>
                <w:szCs w:val="20"/>
                <w:lang w:val="ru-RU" w:eastAsia="ru-RU" w:bidi="ru-RU"/>
              </w:rPr>
              <w:t>«Милосердие»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3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left="4253" w:hanging="0"/>
              <w:jc w:val="right"/>
              <w:rPr>
                <w:color w:val="000000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1415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4"/>
                <w:kern w:val="2"/>
                <w:sz w:val="20"/>
                <w:szCs w:val="20"/>
                <w:lang w:val="ru-RU" w:bidi="ru-RU"/>
              </w:rPr>
              <w:t>3.</w:t>
            </w:r>
            <w:r>
              <w:rPr>
                <w:rFonts w:eastAsia="Times New Roman" w:cs="Times New Roman" w:ascii="Times New Roman" w:hAnsi="Times New Roman"/>
                <w:i/>
                <w:iCs/>
                <w:spacing w:val="-5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Комплекс процессных мероприятий 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3.1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Паспорт комплекса процессных мероприятий «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4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left="4253" w:hanging="0"/>
              <w:jc w:val="right"/>
              <w:rPr>
                <w:color w:val="000000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1415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>4.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«Доступная среда»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4.1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6"/>
                <w:kern w:val="2"/>
                <w:sz w:val="20"/>
                <w:szCs w:val="20"/>
                <w:lang w:val="ru-RU" w:eastAsia="ru-RU" w:bidi="ru-RU"/>
              </w:rPr>
              <w:t xml:space="preserve">Паспорт комплекса процессных мероприятий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eastAsia="ru-RU" w:bidi="ru-RU"/>
              </w:rPr>
              <w:t>«Доступная среда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№</w:t>
            </w:r>
          </w:p>
        </w:tc>
        <w:tc>
          <w:tcPr>
            <w:tcW w:w="1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5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</w:tc>
      </w:tr>
      <w:tr>
        <w:trPr>
          <w:trHeight w:val="230" w:hRule="atLeast"/>
        </w:trPr>
        <w:tc>
          <w:tcPr>
            <w:tcW w:w="1415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5.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Комплекс процессных мероприятий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«Совершенствование системы управления 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 xml:space="preserve">информационного обеспечения в сфере социальной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lang w:val="ru-RU" w:bidi="ru-RU"/>
              </w:rPr>
              <w:t>поддержки и социального обслуживания населения»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5.1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6"/>
                <w:kern w:val="2"/>
                <w:sz w:val="20"/>
                <w:szCs w:val="20"/>
                <w:lang w:val="ru-RU" w:eastAsia="ru-RU" w:bidi="ru-RU"/>
              </w:rPr>
              <w:t xml:space="preserve">Паспорт комплекса процессных мероприятий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eastAsia="ru-RU" w:bidi="ru-RU"/>
              </w:rPr>
              <w:t>«Совершенствование системы управления 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 xml:space="preserve">информационного обеспечения в сфере социальной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lang w:val="ru-RU" w:bidi="ru-RU"/>
              </w:rPr>
              <w:t>поддержки и социального обслуживания населения»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№</w:t>
            </w:r>
          </w:p>
        </w:tc>
        <w:tc>
          <w:tcPr>
            <w:tcW w:w="1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6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</w:tc>
      </w:tr>
      <w:tr>
        <w:trPr>
          <w:trHeight w:val="230" w:hRule="atLeast"/>
        </w:trPr>
        <w:tc>
          <w:tcPr>
            <w:tcW w:w="1415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4"/>
                <w:kern w:val="2"/>
                <w:sz w:val="20"/>
                <w:szCs w:val="20"/>
                <w:lang w:val="ru-RU" w:bidi="ru-RU"/>
              </w:rPr>
              <w:t>6.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Комплекс процессных мероприятий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lang w:val="ru-RU" w:bidi="ru-RU"/>
              </w:rPr>
              <w:t>«Повышение качества и доступности социальных услуг»</w:t>
            </w:r>
          </w:p>
        </w:tc>
      </w:tr>
      <w:tr>
        <w:trPr>
          <w:trHeight w:val="1091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6.1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 xml:space="preserve">Паспорт комплекса процессных мероприятий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lang w:val="ru-RU" w:bidi="ru-RU"/>
              </w:rPr>
              <w:t>«Повышение качества и доступности социальных услуг»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№</w:t>
            </w:r>
          </w:p>
        </w:tc>
        <w:tc>
          <w:tcPr>
            <w:tcW w:w="1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7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</w:tc>
      </w:tr>
      <w:tr>
        <w:trPr>
          <w:trHeight w:val="434" w:hRule="atLeast"/>
        </w:trPr>
        <w:tc>
          <w:tcPr>
            <w:tcW w:w="1415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 xml:space="preserve">7. 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Комплекс процессных мероприятий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«Развитие мер социальной поддержки отдельных категорий граждан»</w:t>
            </w:r>
          </w:p>
        </w:tc>
      </w:tr>
      <w:tr>
        <w:trPr>
          <w:trHeight w:val="1333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7.1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4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 xml:space="preserve">Паспорт комплекса процессных мероприятий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«Развитие мер социальной поддержки отдельных категорий граждан»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 xml:space="preserve">Постановление </w:t>
            </w: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bidi="ar-SA"/>
              </w:rPr>
              <w:t>администрации Анжеро-Суженского городского округа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2"/>
                <w:sz w:val="20"/>
                <w:szCs w:val="20"/>
                <w:lang w:val="ru-RU" w:eastAsia="ru-RU" w:bidi="ar-SA"/>
              </w:rPr>
              <w:t>»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№</w:t>
            </w:r>
          </w:p>
        </w:tc>
        <w:tc>
          <w:tcPr>
            <w:tcW w:w="1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8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</w:tc>
      </w:tr>
      <w:tr>
        <w:trPr>
          <w:trHeight w:val="230" w:hRule="atLeast"/>
        </w:trPr>
        <w:tc>
          <w:tcPr>
            <w:tcW w:w="1415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 xml:space="preserve">8. 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Комплекс процессных мероприятий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kern w:val="2"/>
                <w:sz w:val="20"/>
                <w:szCs w:val="20"/>
                <w:lang w:val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«Здоровье горожан»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bidi="ru-RU"/>
              </w:rPr>
              <w:t>8.1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Паспорт комплекса про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цессных мероприятий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bidi="ru-RU"/>
              </w:rPr>
              <w:t>«Здоровье горожан»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 xml:space="preserve">Постановление </w:t>
            </w: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администрации Анжеро-Суженского городского округа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</w:tabs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ar-SA"/>
              </w:rPr>
              <w:t>Об утверждении муниципальной программы «Социальная поддержка населения Анжеро-Судженского городского округа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2"/>
                <w:sz w:val="20"/>
                <w:szCs w:val="20"/>
                <w:lang w:val="ru-RU" w:eastAsia="ru-RU" w:bidi="ar-SA"/>
              </w:rPr>
              <w:t>»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val="ru-RU" w:eastAsia="ru-RU" w:bidi="ru-RU"/>
              </w:rPr>
              <w:t>От 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Cell"/>
              <w:widowControl w:val="false"/>
              <w:tabs>
                <w:tab w:val="clear" w:pos="709"/>
              </w:tabs>
              <w:suppressAutoHyphens w:val="true"/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Управление социальной защиты населения администрации Анжеро-Судженского городского округа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09"/>
              </w:tabs>
              <w:suppressAutoHyphens w:val="true"/>
              <w:spacing w:before="0" w:after="0"/>
              <w:ind w:left="0" w:hanging="0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Приложение 9</w:t>
            </w:r>
          </w:p>
          <w:p>
            <w:pPr>
              <w:pStyle w:val="ConsPlusNormal"/>
              <w:widowControl w:val="false"/>
              <w:tabs>
                <w:tab w:val="clear" w:pos="709"/>
              </w:tabs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 муниципальной программе «</w:t>
            </w:r>
            <w:r>
              <w:rPr>
                <w:rFonts w:cs="Times New Roman" w:ascii="Times New Roman" w:hAnsi="Times New Roman"/>
                <w:sz w:val="20"/>
                <w:szCs w:val="20"/>
                <w:lang w:bidi="ru-RU"/>
              </w:rPr>
              <w:t>Социальная поддержка населения Анжеро-Судженского городского округа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»</w:t>
            </w:r>
          </w:p>
        </w:tc>
      </w:tr>
    </w:tbl>
    <w:p>
      <w:pPr>
        <w:sectPr>
          <w:headerReference w:type="default" r:id="rId15"/>
          <w:headerReference w:type="first" r:id="rId16"/>
          <w:footerReference w:type="default" r:id="rId17"/>
          <w:footerReference w:type="first" r:id="rId18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rPr>
          <w:rFonts w:cs="Times New Roman" w:ascii="PT Astra Serif" w:hAnsi="PT Astra Serif"/>
          <w:color w:val="000000"/>
        </w:rPr>
        <w:t>Приложение № 2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6195" w:leader="none"/>
          <w:tab w:val="left" w:pos="7065" w:leader="none"/>
        </w:tabs>
        <w:rPr>
          <w:b/>
          <w:bCs/>
          <w:szCs w:val="28"/>
        </w:rPr>
      </w:pPr>
      <w:r>
        <w:rPr>
          <w:b/>
          <w:bCs/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ab/>
      </w:r>
      <w:r>
        <w:rPr>
          <w:b/>
          <w:bCs/>
          <w:szCs w:val="28"/>
        </w:rPr>
        <w:t>«Социальная поддержка населения Анжеро-Судженского городского округа»</w:t>
      </w:r>
      <w:r>
        <w:rPr>
          <w:b/>
          <w:bCs/>
          <w:sz w:val="20"/>
          <w:szCs w:val="20"/>
        </w:rPr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7273" w:leader="none"/>
        </w:tabs>
        <w:rPr/>
      </w:pPr>
      <w:r>
        <w:rPr>
          <w:b/>
          <w:bCs/>
          <w:szCs w:val="28"/>
        </w:rPr>
        <w:t>1. Основные</w:t>
      </w:r>
      <w:r>
        <w:rPr>
          <w:b/>
          <w:bCs/>
          <w:spacing w:val="-4"/>
          <w:szCs w:val="28"/>
        </w:rPr>
        <w:t xml:space="preserve"> </w:t>
      </w:r>
      <w:r>
        <w:rPr>
          <w:b/>
          <w:bCs/>
        </w:rPr>
        <w:t>положения</w:t>
      </w:r>
    </w:p>
    <w:tbl>
      <w:tblPr>
        <w:tblStyle w:val="TableNormal"/>
        <w:tblW w:w="157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600" w:noHBand="1" w:lastColumn="0" w:firstColumn="0" w:lastRow="0" w:firstRow="0"/>
      </w:tblPr>
      <w:tblGrid>
        <w:gridCol w:w="7765"/>
        <w:gridCol w:w="7988"/>
      </w:tblGrid>
      <w:tr>
        <w:trPr/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ru-RU" w:bidi="ru-RU"/>
              </w:rPr>
              <w:t>Куратор (директор) муниципальной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программы</w:t>
            </w: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 xml:space="preserve">Заместитель главы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Анжеро-Судженского городского округа по социальным вопросам Овчинникова Ольга Николаевна</w:t>
            </w:r>
          </w:p>
        </w:tc>
      </w:tr>
      <w:tr>
        <w:trPr/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Ответственный исполнитель муниципальной программы</w:t>
            </w:r>
          </w:p>
        </w:tc>
        <w:tc>
          <w:tcPr>
            <w:tcW w:w="7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</w:tr>
      <w:tr>
        <w:trPr/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PT Astra Serif" w:hAnsi="PT Astra Serif"/>
                <w:sz w:val="20"/>
                <w:szCs w:val="20"/>
                <w:shd w:fill="FFFFFF" w:val="clear"/>
              </w:rPr>
              <w:t>Соисполнитель</w:t>
            </w: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Управление жилищно — коммунального хозяйства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 xml:space="preserve">администрации Анжеро-Судженкого городского округа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образования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администрации Анжеро-Судженкого городского округа,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Комитет по физической культуре, спорту и молодежной политике администрации Анжеро-Судженкого городского округа,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Государственное автономное учреждение здравохранения Кемеровской области «Анжеро-Судженская городская больница имени А.А. Гороховского</w:t>
            </w:r>
          </w:p>
        </w:tc>
      </w:tr>
      <w:tr>
        <w:trPr/>
        <w:tc>
          <w:tcPr>
            <w:tcW w:w="7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Период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реализации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ru-RU" w:bidi="ru-RU"/>
              </w:rPr>
              <w:t xml:space="preserve"> муниципальной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программы</w:t>
            </w:r>
          </w:p>
        </w:tc>
        <w:tc>
          <w:tcPr>
            <w:tcW w:w="7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1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 – 2030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PT Astra Serif" w:cs="PT Astra Serif"/>
                <w:sz w:val="20"/>
                <w:szCs w:val="20"/>
                <w:lang w:eastAsia="zh-CN"/>
              </w:rPr>
            </w:pPr>
            <w:r>
              <w:rPr>
                <w:rFonts w:eastAsia="PT Astra Serif" w:cs="PT Astra Serif"/>
                <w:sz w:val="20"/>
                <w:szCs w:val="20"/>
                <w:lang w:eastAsia="zh-CN"/>
              </w:rPr>
            </w:r>
          </w:p>
        </w:tc>
      </w:tr>
      <w:tr>
        <w:trPr/>
        <w:tc>
          <w:tcPr>
            <w:tcW w:w="7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Цели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ru-RU" w:bidi="ru-RU"/>
              </w:rPr>
              <w:t xml:space="preserve"> муниципальной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программы</w:t>
            </w:r>
          </w:p>
        </w:tc>
        <w:tc>
          <w:tcPr>
            <w:tcW w:w="7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Цель 1. Достижение уровня социального обеспечения граждан -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нуждаемости, не менее 25,3% к 2030 году.</w:t>
            </w:r>
          </w:p>
          <w:p>
            <w:pPr>
              <w:pStyle w:val="Normal"/>
              <w:widowControl w:val="false"/>
              <w:shd w:val="solid" w:color="FFFFFF"/>
              <w:suppressAutoHyphens w:val="true"/>
              <w:spacing w:before="0" w:after="0"/>
              <w:jc w:val="both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77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Цель 2. Повышение доступности социального обслуживания населения и сохранение на уровне 100% до 2030 года.</w:t>
            </w:r>
          </w:p>
        </w:tc>
      </w:tr>
      <w:tr>
        <w:trPr/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Направления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(подпрограммы)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ru-RU" w:bidi="ru-RU"/>
              </w:rPr>
              <w:t xml:space="preserve">муниципальной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программы</w:t>
            </w:r>
          </w:p>
        </w:tc>
        <w:tc>
          <w:tcPr>
            <w:tcW w:w="7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Направление (подпрограмма) 1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«Милосердие»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Направление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(подпрограмма)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2  </w:t>
            </w:r>
            <w:r>
              <w:rPr>
                <w:rFonts w:eastAsia="Source Han Sans CN Regular" w:cs="Lohit Devanagari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Направление (подпрограмма) 3 «Доступная среда».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Направление (подпрограмма) 4 «Совершенствование системы управления 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информационного обеспечения в сфере социальной </w:t>
            </w:r>
            <w:r>
              <w:rPr>
                <w:rFonts w:eastAsia="Source Han Sans CN Regular" w:cs="Lohit Devanagari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поддержки и социального обслуживания населения».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Направление (подпрограмма) 5 </w:t>
            </w:r>
            <w:r>
              <w:rPr>
                <w:rFonts w:eastAsia="Source Han Sans CN Regular" w:cs="Lohit Devanagari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«Повышение качества и доступности социальных услуг».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Направление (подпрограмма) 6 «Развитие мер социальной поддержки отдельных категорий граждан».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Направление (подпрограмма) 7 «Здоровье горожан».</w:t>
            </w:r>
          </w:p>
        </w:tc>
      </w:tr>
      <w:tr>
        <w:trPr/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Связь с национальными целями, государственными программами Кемеровской области - Кузбасса</w:t>
            </w:r>
          </w:p>
        </w:tc>
        <w:tc>
          <w:tcPr>
            <w:tcW w:w="7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both"/>
              <w:rPr>
                <w:rFonts w:eastAsia="Times New Roman" w:cs="PT Astra Serif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Национальная цель: сохранение населения, здоровья и благополучия людей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Национальный показатель: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ru-RU"/>
              </w:rPr>
              <w:t>увеличение ожидаемой продолжительности жизни до 78 лет к 2030 году и до 81 года к 2036 году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both"/>
              <w:rPr>
                <w:rFonts w:ascii="Arial" w:hAnsi="Arial"/>
                <w:color w:val="000080"/>
                <w:sz w:val="2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Национальный показатель: увеличение к 2030 году численности граждан пожилого возраста и инвалидов, получающих услуги долговременного ухода, не менее чем до 500 тыс. человек и</w:t>
            </w: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ru-RU"/>
              </w:rPr>
              <w:t>з числа наиболее нуждающихся в таких услугах</w:t>
            </w:r>
          </w:p>
        </w:tc>
      </w:tr>
      <w:tr>
        <w:trPr/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sz w:val="20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4"/>
                <w:lang w:val="ru-RU" w:eastAsia="ru-RU" w:bidi="ru-RU"/>
              </w:rPr>
              <w:t>Государственная программа Кемеровской области - Кузбасса "Социальная поддержка населения Кузбасса"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2. Показатели  муниципальной программы</w:t>
      </w:r>
    </w:p>
    <w:tbl>
      <w:tblPr>
        <w:tblStyle w:val="TableNormal"/>
        <w:tblW w:w="15712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75"/>
        <w:gridCol w:w="1870"/>
        <w:gridCol w:w="1081"/>
        <w:gridCol w:w="1125"/>
        <w:gridCol w:w="1139"/>
        <w:gridCol w:w="798"/>
        <w:gridCol w:w="1056"/>
        <w:gridCol w:w="524"/>
        <w:gridCol w:w="521"/>
        <w:gridCol w:w="617"/>
        <w:gridCol w:w="506"/>
        <w:gridCol w:w="511"/>
        <w:gridCol w:w="63"/>
        <w:gridCol w:w="1243"/>
        <w:gridCol w:w="1527"/>
        <w:gridCol w:w="1"/>
        <w:gridCol w:w="2455"/>
      </w:tblGrid>
      <w:tr>
        <w:trPr>
          <w:trHeight w:val="440" w:hRule="atLeast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PT Astra Serif" w:cs="PT Astra Serif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</w:t>
            </w:r>
            <w:bookmarkStart w:id="20" w:name="_bookmark0"/>
            <w:bookmarkEnd w:id="20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</w:t>
            </w:r>
          </w:p>
        </w:tc>
        <w:tc>
          <w:tcPr>
            <w:tcW w:w="2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Ответственный за достижение </w:t>
            </w:r>
            <w:bookmarkStart w:id="21" w:name="_bookmark1"/>
            <w:bookmarkEnd w:id="21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программы)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2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 с показателями национальных целей</w:t>
            </w:r>
          </w:p>
        </w:tc>
      </w:tr>
      <w:tr>
        <w:trPr>
          <w:trHeight w:val="590" w:hRule="atLeast"/>
        </w:trPr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8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zh-CN" w:bidi="ru-RU"/>
              </w:rPr>
              <w:t>2026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zh-CN" w:bidi="ru-RU"/>
              </w:rPr>
              <w:t>2027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zh-CN" w:bidi="ru-RU"/>
              </w:rPr>
              <w:t>2028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zh-CN" w:bidi="ru-RU"/>
              </w:rPr>
              <w:t>2029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zh-CN" w:bidi="ru-RU"/>
              </w:rPr>
              <w:t>2030</w:t>
            </w:r>
          </w:p>
        </w:tc>
        <w:tc>
          <w:tcPr>
            <w:tcW w:w="1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2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4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20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851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7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8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11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13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14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</w:tr>
      <w:tr>
        <w:trPr>
          <w:trHeight w:val="295" w:hRule="atLeast"/>
        </w:trPr>
        <w:tc>
          <w:tcPr>
            <w:tcW w:w="1571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2"/>
                <w:lang w:val="ru-RU" w:bidi="ru-RU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Цель: Достижение уровня социального обеспечения граждан -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нуждаемости, не менее 25,3% к 2030 году.</w:t>
            </w:r>
          </w:p>
        </w:tc>
      </w:tr>
      <w:tr>
        <w:trPr>
          <w:trHeight w:val="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25,0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ru-RU" w:eastAsia="zh-CN" w:bidi="ru-RU"/>
              </w:rPr>
              <w:t>25,04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25,04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25,04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25,04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25,04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Source Han Sans CN Regular" w:cs="Lohit Devanagari"/>
                <w:kern w:val="2"/>
                <w:sz w:val="18"/>
                <w:szCs w:val="18"/>
                <w:lang w:val="ru-RU" w:eastAsia="ru-RU" w:bidi="ru-RU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ru-RU"/>
              </w:rPr>
              <w:t>увеличение к 2030 году численности граждан пожилого возраста и инвалидов, получающих услуги долговременного ухода, не менее чем до 500 тыс. человек из числа наиболее нуждающихся в таких услугах</w:t>
            </w:r>
          </w:p>
        </w:tc>
      </w:tr>
      <w:tr>
        <w:trPr>
          <w:trHeight w:val="548" w:hRule="atLeast"/>
        </w:trPr>
        <w:tc>
          <w:tcPr>
            <w:tcW w:w="15712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Цель: Повышение доступности социального обслуживания населения и сохранение на уровне 100% до 2030 года.</w:t>
            </w:r>
          </w:p>
        </w:tc>
      </w:tr>
      <w:tr>
        <w:trPr>
          <w:trHeight w:val="548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eastAsia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граждан,</w:t>
              <w:br/>
              <w:t>получивших</w:t>
              <w:br/>
              <w:t>социальные услуги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населения, в общем</w:t>
              <w:br/>
              <w:t>числе граждан, обратившихся за</w:t>
              <w:br/>
              <w:t>получением</w:t>
              <w:br/>
              <w:t>социальных услуг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МП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возрастание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511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Source Han Sans CN Regular"/>
                <w:kern w:val="2"/>
                <w:lang w:val="ru-RU" w:eastAsia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100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Source Han Sans CN Regular"/>
                <w:kern w:val="2"/>
                <w:lang w:val="ru-RU" w:eastAsia="ru-RU" w:bidi="ru-RU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lang w:val="ru-RU" w:eastAsia="ru-RU" w:bidi="ru-RU"/>
              </w:rPr>
              <w:t>Указ Президента РФ от 07.05.2012 N 597 "О мероприятиях по реализации государственной социальной политики"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  <w:tc>
          <w:tcPr>
            <w:tcW w:w="24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ru-RU"/>
              </w:rPr>
              <w:t>увеличение ожидаемой продолжительности жизни до 78 лет к 2030 году и до 81 года к 2036 году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  <w:szCs w:val="28"/>
        </w:rPr>
        <w:t>2.1. План достижения показателей муниципальной программы в 2026 году</w:t>
      </w:r>
    </w:p>
    <w:tbl>
      <w:tblPr>
        <w:tblStyle w:val="TableNormal"/>
        <w:tblW w:w="15127" w:type="dxa"/>
        <w:jc w:val="left"/>
        <w:tblInd w:w="17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508"/>
        <w:gridCol w:w="2927"/>
        <w:gridCol w:w="1190"/>
        <w:gridCol w:w="1056"/>
        <w:gridCol w:w="685"/>
        <w:gridCol w:w="802"/>
        <w:gridCol w:w="528"/>
        <w:gridCol w:w="661"/>
        <w:gridCol w:w="528"/>
        <w:gridCol w:w="533"/>
        <w:gridCol w:w="546"/>
        <w:gridCol w:w="667"/>
        <w:gridCol w:w="794"/>
        <w:gridCol w:w="815"/>
        <w:gridCol w:w="773"/>
        <w:gridCol w:w="2110"/>
      </w:tblGrid>
      <w:tr>
        <w:trPr>
          <w:tblHeader w:val="true"/>
          <w:trHeight w:val="349" w:hRule="atLeast"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Цели/показатели муниципальной программы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3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bCs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blHeader w:val="true"/>
          <w:trHeight w:val="661" w:hRule="atLeast"/>
        </w:trPr>
        <w:tc>
          <w:tcPr>
            <w:tcW w:w="5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1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6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2"/>
                <w:lang w:val="ru-RU" w:bidi="ru-RU"/>
              </w:rPr>
            </w:pPr>
            <w:r>
              <w:rPr>
                <w:rFonts w:eastAsia="Times New Roman" w:cs="PT Astra Serif"/>
                <w:bCs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Цель: Достижение уровня социального обеспечения граждан -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нуждаемости, не менее 25,3% к 2030 году.</w:t>
            </w:r>
          </w:p>
        </w:tc>
      </w:tr>
      <w:tr>
        <w:trPr>
          <w:trHeight w:val="419" w:hRule="atLeast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МП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25,02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25,02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25,02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25,04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25,04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25,04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25,04</w:t>
            </w:r>
          </w:p>
        </w:tc>
      </w:tr>
      <w:tr>
        <w:trPr>
          <w:trHeight w:val="419" w:hRule="atLeast"/>
        </w:trPr>
        <w:tc>
          <w:tcPr>
            <w:tcW w:w="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46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Цель: Повышение доступности социального обслуживания населения и сохранение на уровне 100% до 2030 года.</w:t>
            </w:r>
          </w:p>
        </w:tc>
      </w:tr>
      <w:tr>
        <w:trPr>
          <w:trHeight w:val="419" w:hRule="atLeast"/>
        </w:trPr>
        <w:tc>
          <w:tcPr>
            <w:tcW w:w="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граждан,</w:t>
              <w:br/>
              <w:t>получивших</w:t>
              <w:br/>
              <w:t>социальные услуги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населения, в общем</w:t>
              <w:br/>
              <w:t>числе граждан, обратившихся за</w:t>
              <w:br/>
              <w:t>получением</w:t>
              <w:br/>
              <w:t>социальных услуг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МП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100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100</w:t>
            </w: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100</w:t>
            </w: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2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</w:tbl>
    <w:p>
      <w:pPr>
        <w:pStyle w:val="Normal"/>
        <w:tabs>
          <w:tab w:val="clear" w:pos="709"/>
          <w:tab w:val="left" w:pos="469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tabs>
          <w:tab w:val="clear" w:pos="709"/>
          <w:tab w:val="left" w:pos="469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tabs>
          <w:tab w:val="clear" w:pos="709"/>
          <w:tab w:val="left" w:pos="469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tabs>
          <w:tab w:val="clear" w:pos="709"/>
          <w:tab w:val="left" w:pos="469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tabs>
          <w:tab w:val="clear" w:pos="709"/>
          <w:tab w:val="left" w:pos="469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tabs>
          <w:tab w:val="clear" w:pos="709"/>
          <w:tab w:val="left" w:pos="469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tabs>
          <w:tab w:val="clear" w:pos="709"/>
          <w:tab w:val="left" w:pos="4695" w:leader="none"/>
        </w:tabs>
        <w:rPr/>
      </w:pPr>
      <w:r>
        <w:rPr>
          <w:b/>
          <w:bCs/>
          <w:szCs w:val="28"/>
        </w:rPr>
        <w:t>3. Структура</w:t>
      </w:r>
      <w:r>
        <w:rPr>
          <w:b/>
          <w:bCs/>
          <w:spacing w:val="-5"/>
          <w:szCs w:val="28"/>
        </w:rPr>
        <w:t xml:space="preserve"> </w:t>
      </w:r>
      <w:r>
        <w:rPr>
          <w:b/>
          <w:bCs/>
          <w:szCs w:val="28"/>
        </w:rPr>
        <w:t>муниципальной</w:t>
      </w:r>
      <w:r>
        <w:rPr>
          <w:b/>
          <w:bCs/>
          <w:spacing w:val="-3"/>
          <w:szCs w:val="28"/>
        </w:rPr>
        <w:t xml:space="preserve"> </w:t>
      </w:r>
      <w:r>
        <w:rPr>
          <w:b/>
          <w:bCs/>
        </w:rPr>
        <w:t>программы</w:t>
      </w:r>
    </w:p>
    <w:tbl>
      <w:tblPr>
        <w:tblStyle w:val="TableNormal"/>
        <w:tblW w:w="15143" w:type="dxa"/>
        <w:jc w:val="left"/>
        <w:tblInd w:w="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69"/>
        <w:gridCol w:w="7267"/>
        <w:gridCol w:w="74"/>
        <w:gridCol w:w="3018"/>
        <w:gridCol w:w="53"/>
        <w:gridCol w:w="4061"/>
      </w:tblGrid>
      <w:tr>
        <w:trPr>
          <w:trHeight w:val="491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структурного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элемента</w:t>
            </w: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Краткое описание ожидаемых эффектов от реализации задачи структурного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элемента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 показателями</w:t>
            </w:r>
          </w:p>
        </w:tc>
      </w:tr>
      <w:tr>
        <w:trPr>
          <w:trHeight w:val="27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</w:t>
            </w:r>
          </w:p>
        </w:tc>
      </w:tr>
      <w:tr>
        <w:trPr>
          <w:trHeight w:val="279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kern w:val="2"/>
                <w:sz w:val="20"/>
                <w:szCs w:val="20"/>
                <w:lang w:val="ru-RU" w:eastAsia="zh-CN" w:bidi="ru-RU"/>
              </w:rPr>
              <w:t>1.</w:t>
            </w:r>
            <w:r>
              <w:rPr>
                <w:rFonts w:eastAsia="Source Han Sans CN Regular" w:cs="Lohit Devanagari"/>
                <w:b/>
                <w:b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kern w:val="2"/>
                <w:sz w:val="20"/>
                <w:szCs w:val="20"/>
                <w:lang w:val="ru-RU" w:eastAsia="zh-CN" w:bidi="ru-RU"/>
              </w:rPr>
              <w:t>Подпрограмма</w:t>
            </w:r>
            <w:r>
              <w:rPr>
                <w:rFonts w:eastAsia="Source Han Sans CN Regular" w:cs="Lohit Devanagari"/>
                <w:b/>
                <w:b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 </w:t>
            </w: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«Милосердие»</w:t>
            </w:r>
          </w:p>
        </w:tc>
      </w:tr>
      <w:tr>
        <w:trPr>
          <w:trHeight w:val="368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b/>
                <w:bCs/>
                <w:i/>
                <w:iCs/>
                <w:kern w:val="2"/>
                <w:sz w:val="20"/>
                <w:szCs w:val="20"/>
                <w:lang w:val="ru-RU" w:eastAsia="ru-RU" w:bidi="ru-RU"/>
              </w:rPr>
              <w:t>Комплекс процессных мероприятий «Милосердие»</w:t>
            </w:r>
          </w:p>
        </w:tc>
      </w:tr>
      <w:tr>
        <w:trPr>
          <w:trHeight w:val="371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Ответственный исполнитель программы: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  <w:tc>
          <w:tcPr>
            <w:tcW w:w="7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187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1.1.1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sz w:val="20"/>
                <w:szCs w:val="20"/>
              </w:rPr>
            </w:pPr>
            <w:r>
              <w:rPr>
                <w:rFonts w:cs="PT Astra Serif" w:ascii="PT Astra Serif" w:hAnsi="PT Astra Serif"/>
                <w:sz w:val="20"/>
                <w:szCs w:val="20"/>
                <w:lang w:eastAsia="zh-CN"/>
              </w:rPr>
              <w:t xml:space="preserve">Выполнить обязательства по социальной поддержке отдельных категорий граждан, </w:t>
            </w:r>
            <w:r>
              <w:rPr>
                <w:rFonts w:cs="PT Astra Serif" w:ascii="PT Astra Serif" w:hAnsi="PT Astra Serif"/>
                <w:color w:val="000000"/>
                <w:sz w:val="20"/>
                <w:szCs w:val="20"/>
                <w:lang w:eastAsia="zh-CN"/>
              </w:rPr>
              <w:t>оказавшихся в трудной жизненной ситуации, за счет оказания им целевой адресной помощи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Повышение адресности при оказании адресной  помощи отдельным категориям граждан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cs="PT Astra Serif"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185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1.1.2</w:t>
            </w:r>
          </w:p>
        </w:tc>
        <w:tc>
          <w:tcPr>
            <w:tcW w:w="7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деятельности.</w:t>
            </w:r>
          </w:p>
        </w:tc>
        <w:tc>
          <w:tcPr>
            <w:tcW w:w="31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ru-RU"/>
              </w:rPr>
              <w:t>Частичное возмещение затрат, связанных с осуществлением деятельности общественных организаций</w:t>
            </w:r>
          </w:p>
        </w:tc>
        <w:tc>
          <w:tcPr>
            <w:tcW w:w="4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185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1.1.3</w:t>
            </w:r>
          </w:p>
        </w:tc>
        <w:tc>
          <w:tcPr>
            <w:tcW w:w="7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  <w:lang w:eastAsia="zh-CN"/>
              </w:rPr>
              <w:t>Выполнение обязательств по социальной поддержке инвалидов, состоящих на учете в службе занятости</w:t>
            </w:r>
          </w:p>
        </w:tc>
        <w:tc>
          <w:tcPr>
            <w:tcW w:w="31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Организация временных работ для безработных граждан, состоящих на учете в службе занятости</w:t>
            </w:r>
          </w:p>
        </w:tc>
        <w:tc>
          <w:tcPr>
            <w:tcW w:w="4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182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1.1.4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Выполнить обязательства по социальной поддержки семей мобилизованных и членов семей, погибших (умерших) при выполнении задач в ходе специальной военной операции.</w:t>
            </w: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</w:rPr>
              <w:t xml:space="preserve">Улучшение условий проживания семей граждан, </w:t>
            </w:r>
            <w:r>
              <w:rPr>
                <w:rFonts w:cs="PT Astra Serif" w:ascii="PT Astra Serif" w:hAnsi="PT Astra Serif"/>
                <w:iCs/>
                <w:color w:val="000000"/>
                <w:sz w:val="20"/>
                <w:szCs w:val="20"/>
              </w:rPr>
              <w:t>принимавших (принимающих) участие в боевых действиях в 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281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2.</w:t>
            </w:r>
            <w:r>
              <w:rPr>
                <w:rFonts w:eastAsia="Source Han Sans CN Regular" w:cs="Lohit Devanagari"/>
                <w:b/>
                <w:bCs/>
                <w:spacing w:val="-2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П</w:t>
            </w:r>
            <w:r>
              <w:rPr>
                <w:rFonts w:eastAsia="Source Han Sans CN Regular" w:cs="Lohit Devanagari"/>
                <w:b/>
                <w:bCs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одпрограмма</w:t>
            </w:r>
            <w:r>
              <w:rPr>
                <w:rFonts w:eastAsia="Source Han Sans CN Regular" w:cs="Lohit Devanagari"/>
                <w:b/>
                <w:b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 </w:t>
            </w: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</w:t>
            </w:r>
          </w:p>
        </w:tc>
      </w:tr>
      <w:tr>
        <w:trPr>
          <w:trHeight w:val="2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b/>
                <w:bCs/>
                <w:i/>
                <w:i/>
                <w:iCs/>
                <w:color w:val="000000"/>
              </w:rPr>
            </w:pPr>
            <w:r>
              <w:rPr>
                <w:rFonts w:eastAsia="Source Han Sans CN Regular" w:cs="PT Astra Serif"/>
                <w:b/>
                <w:bCs/>
                <w:i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Source Han Sans CN Regular" w:cs="Lohit Devanagari"/>
                <w:b/>
                <w:bCs/>
                <w:i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</w:t>
            </w:r>
            <w:r>
              <w:rPr>
                <w:rFonts w:eastAsia="Source Han Sans CN Regular" w:cs="Lohit Devanaga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68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shd w:fill="FFFFFF" w:val="clear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Ответственный исполнитель программы: Управление социальной защиты населения</w:t>
            </w:r>
          </w:p>
        </w:tc>
        <w:tc>
          <w:tcPr>
            <w:tcW w:w="7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185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2.1.1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  <w:lang w:eastAsia="zh-CN"/>
              </w:rPr>
            </w:pPr>
            <w:r>
              <w:rPr>
                <w:rFonts w:cs="PT Astra Serif" w:ascii="PT Astra Serif" w:hAnsi="PT Astra Serif"/>
                <w:color w:val="000000"/>
                <w:lang w:eastAsia="zh-CN"/>
              </w:rPr>
      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</w:t>
            </w: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Повышение социальной защищенности лиц, замещавших муниципальные должности и должности муниципальной службы в Анжеро-Судженском городском округе в виде пенсии за выслугу лет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252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pacing w:val="-5"/>
                <w:sz w:val="20"/>
                <w:szCs w:val="20"/>
                <w:shd w:fill="FFFF00" w:val="clear"/>
                <w:lang w:eastAsia="zh-CN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3. Подпрограмма «Доступная среда»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3.1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rFonts w:cs="PT Astra Serif"/>
                <w:b/>
                <w:bCs/>
                <w:i/>
                <w:i/>
                <w:iCs/>
                <w:color w:val="000000"/>
                <w:sz w:val="20"/>
                <w:szCs w:val="20"/>
                <w:shd w:fill="FFFFFF" w:val="clear"/>
                <w:lang w:eastAsia="zh-CN"/>
              </w:rPr>
            </w:pPr>
            <w:r>
              <w:rPr>
                <w:rFonts w:eastAsia="Source Han Sans CN Regular" w:cs="PT Astra Serif"/>
                <w:b/>
                <w:bCs/>
                <w:i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 процессных мероприятий «Доступная среда»</w:t>
            </w:r>
          </w:p>
        </w:tc>
      </w:tr>
      <w:tr>
        <w:trPr>
          <w:trHeight w:val="372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Ответственный исполнитель программы: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образования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администрации Анжеро-Судженкого городского округа,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культуры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администрации Анжеро-Судженкого городского округа,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Комитет по физической культуре, спорту и молодежной политике администрации Анжеро-Судженкого городского округа</w:t>
            </w:r>
          </w:p>
        </w:tc>
        <w:tc>
          <w:tcPr>
            <w:tcW w:w="7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342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3.1.1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  <w:lang w:eastAsia="zh-CN"/>
              </w:rPr>
            </w:pPr>
            <w:r>
              <w:rPr>
                <w:rFonts w:cs="PT Astra Serif" w:ascii="PT Astra Serif" w:hAnsi="PT Astra Serif"/>
                <w:color w:val="000000"/>
                <w:lang w:eastAsia="zh-CN"/>
              </w:rPr>
              <w:t>Обеспечить равные возможности во всех сферах жизнедеятельности для инвалидов и других маломобильных групп населения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Формирование социально-адаптированной городской среды для инвалидов (детей-инвалидов) и других маломобильных групп населения Анжеро-Судженского городского округа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4. Подпрограмма «Совершенствование системы управления 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информационного обеспечения в сфере социальной </w:t>
            </w:r>
            <w:r>
              <w:rPr>
                <w:rFonts w:eastAsia="Source Han Sans CN Regular" w:cs="Lohit Devanagari"/>
                <w:b/>
                <w:bCs/>
                <w:color w:val="000000"/>
                <w:spacing w:val="-2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поддержки и социального обслуживания населения»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4.1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b/>
                <w:bCs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Source Han Sans CN Regular" w:cs="PT Astra Serif"/>
                <w:b/>
                <w:b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«Совершенствование системы управления и информационного обеспечения в сфере социальной поддержки и социального обслуживания</w:t>
            </w:r>
            <w:r>
              <w:rPr>
                <w:rFonts w:eastAsia="Source Han Sans CN Regular" w:cs="PT Astra Serif"/>
                <w:b/>
                <w:bCs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Ответственный исполнитель программы: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  <w:tc>
          <w:tcPr>
            <w:tcW w:w="7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4.1.1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/>
            </w:pPr>
            <w:r>
              <w:rPr>
                <w:rFonts w:cs="PT Astra Serif" w:ascii="PT Astra Serif" w:hAnsi="PT Astra Serif"/>
                <w:color w:val="000000"/>
              </w:rPr>
              <w:t>Обеспечить выполнение полномочий управления социальной защиты населения администрации Анжеро-Судженского городского округа</w:t>
            </w:r>
          </w:p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/>
            </w:pPr>
            <w:r>
              <w:rPr/>
            </w:r>
          </w:p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br/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HTMLPreformatted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lineRule="auto" w:line="240" w:before="0" w:after="0"/>
              <w:jc w:val="left"/>
              <w:rPr>
                <w:rFonts w:ascii="PT Astra Serif" w:hAnsi="PT Astra Serif" w:cs="PT Astra Serif"/>
                <w:color w:val="000000"/>
                <w:lang w:val="ru-RU"/>
              </w:rPr>
            </w:pPr>
            <w:r>
              <w:rPr>
                <w:rFonts w:eastAsia="Source Han Sans CN Regular" w:cs="PT Astra Serif" w:ascii="PT Astra Serif" w:hAnsi="PT Astra Serif"/>
                <w:color w:val="000000"/>
                <w:kern w:val="2"/>
                <w:lang w:val="ru-RU" w:eastAsia="ru-RU" w:bidi="ru-RU"/>
              </w:rPr>
              <w:t>Обеспечение эффективного управления в сфере социальной поддержки и социального обслуживания населения АСГО</w:t>
            </w:r>
          </w:p>
          <w:p>
            <w:pPr>
              <w:pStyle w:val="HTMLPreformatted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lineRule="auto" w:line="240" w:before="0" w:after="0"/>
              <w:jc w:val="left"/>
              <w:rPr>
                <w:rFonts w:eastAsia="Source Han Sans CN Regular"/>
                <w:kern w:val="2"/>
                <w:lang w:eastAsia="ru-RU" w:bidi="ru-RU"/>
              </w:rPr>
            </w:pPr>
            <w:r>
              <w:rPr>
                <w:rFonts w:eastAsia="Source Han Sans CN Regular"/>
                <w:kern w:val="2"/>
                <w:lang w:eastAsia="ru-RU" w:bidi="ru-RU"/>
              </w:rPr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cs="PT Astra Serif"/>
                <w:color w:val="000000"/>
                <w:sz w:val="20"/>
                <w:szCs w:val="20"/>
              </w:rPr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5</w:t>
            </w:r>
          </w:p>
        </w:tc>
        <w:tc>
          <w:tcPr>
            <w:tcW w:w="1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5. Подпрограмма  </w:t>
            </w:r>
            <w:r>
              <w:rPr>
                <w:rFonts w:eastAsia="Source Han Sans CN Regular" w:cs="Lohit Devanagari"/>
                <w:b/>
                <w:bCs/>
                <w:color w:val="000000"/>
                <w:spacing w:val="-2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«Повышение качества и доступности социальных услуг»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5.1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b/>
                <w:bCs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pacing w:val="-5"/>
                <w:sz w:val="20"/>
                <w:szCs w:val="20"/>
                <w:shd w:fill="FFFFFF" w:val="clear"/>
                <w:lang w:eastAsia="zh-CN"/>
              </w:rPr>
              <w:t>Комплекс процессных мероприятий</w:t>
            </w: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pacing w:val="-4"/>
                <w:sz w:val="20"/>
                <w:szCs w:val="20"/>
                <w:shd w:fill="FFFFFF" w:val="clear"/>
                <w:lang w:eastAsia="zh-CN"/>
              </w:rPr>
              <w:t xml:space="preserve"> «Повышение качества и доступности социальных услуг»</w:t>
            </w:r>
          </w:p>
        </w:tc>
      </w:tr>
      <w:tr>
        <w:trPr>
          <w:trHeight w:val="370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Ответственный исполнитель программы: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  <w:tc>
          <w:tcPr>
            <w:tcW w:w="7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5.1.1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hd w:val="solid" w:color="FFFFFF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hd w:val="solid" w:color="FFFFFF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Затраты на содержание муниципальных учреждений социального обслуживания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граждан,</w:t>
              <w:br/>
              <w:t>получивших</w:t>
              <w:br/>
              <w:t>социальные услуги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населения, в общем</w:t>
              <w:br/>
              <w:t>числе граждан, обратившихся за</w:t>
              <w:br/>
              <w:t>получением</w:t>
              <w:br/>
              <w:t>социальных услуг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5.1.2</w:t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</w:p>
        </w:tc>
        <w:tc>
          <w:tcPr>
            <w:tcW w:w="3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hd w:val="solid" w:color="FFFFFF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color w:val="FF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Удовлетворение потребностей граждан пожилого возраста,  инвалидов и других категорий граждан, находящихся в трудной жизненной ситуации и нуждающихся в постоянном постороннем уходе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граждан,</w:t>
              <w:br/>
              <w:t>получивших</w:t>
              <w:br/>
              <w:t>социальные услуги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населения, в общем</w:t>
              <w:br/>
              <w:t>числе граждан, обратившихся за</w:t>
              <w:br/>
              <w:t>получением</w:t>
              <w:br/>
              <w:t>социальных услуг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5.1.3</w:t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  <w:lang w:eastAsia="zh-CN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Поддержка граждан пожилого возраста и инвалидов</w:t>
            </w:r>
          </w:p>
        </w:tc>
        <w:tc>
          <w:tcPr>
            <w:tcW w:w="3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Пожилые граждане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граждан,</w:t>
              <w:br/>
              <w:t>получивших</w:t>
              <w:br/>
              <w:t>социальные услуги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населения, в общем</w:t>
              <w:br/>
              <w:t>числе граждан, обратившихся за</w:t>
              <w:br/>
              <w:t>получением</w:t>
              <w:br/>
              <w:t>социальных услуг в</w:t>
              <w:br/>
              <w:t>учреждениях</w:t>
              <w:br/>
              <w:t>социального</w:t>
              <w:br/>
              <w:t>обслуживания</w:t>
              <w:br/>
              <w:t>населения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6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pacing w:val="-5"/>
                <w:sz w:val="20"/>
                <w:szCs w:val="20"/>
                <w:shd w:fill="FFFF00" w:val="clear"/>
                <w:lang w:eastAsia="zh-CN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6. Подпрограмма «Развитие мер социальной поддержки отдельных категорий граждан»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6.1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left" w:pos="705" w:leader="none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b/>
                <w:bCs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pacing w:val="-5"/>
                <w:sz w:val="20"/>
                <w:szCs w:val="20"/>
                <w:shd w:fill="FFFFFF" w:val="clear"/>
                <w:lang w:eastAsia="zh-CN"/>
              </w:rPr>
              <w:t>Комплекс процессных мероприятий</w:t>
            </w: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pacing w:val="-4"/>
                <w:sz w:val="20"/>
                <w:szCs w:val="20"/>
                <w:shd w:fill="FFFFFF" w:val="clear"/>
                <w:lang w:eastAsia="zh-CN"/>
              </w:rPr>
              <w:t>«</w:t>
            </w: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z w:val="20"/>
                <w:szCs w:val="20"/>
                <w:shd w:fill="FFFFFF" w:val="clear"/>
              </w:rPr>
              <w:t>Развитие мер социальной поддержки отдельных категорий граждан»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Ответственный исполнитель программы: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Управление социальной защиты населения администрации Анжеро-Судженкого городского округа</w:t>
            </w:r>
          </w:p>
        </w:tc>
        <w:tc>
          <w:tcPr>
            <w:tcW w:w="71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6.1.1</w:t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  <w:lang w:eastAsia="zh-CN"/>
              </w:rPr>
              <w:t>Повысить уровень жизни отдельных категорий граждан за счет предоставления им мер социальной поддержки</w:t>
            </w:r>
          </w:p>
        </w:tc>
        <w:tc>
          <w:tcPr>
            <w:tcW w:w="3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left" w:pos="2144" w:leader="none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Улучшение материального положения граждан, снижение бедности среди получателей мер социальной поддержки, в том числе семей с детьми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6.1.2</w:t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Увеличение количества многодетных семей</w:t>
            </w:r>
          </w:p>
        </w:tc>
        <w:tc>
          <w:tcPr>
            <w:tcW w:w="3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spacing w:val="-2"/>
                <w:kern w:val="2"/>
                <w:sz w:val="20"/>
                <w:szCs w:val="20"/>
                <w:lang w:val="ru-RU" w:eastAsia="ru-RU" w:bidi="ru-RU"/>
              </w:rPr>
              <w:t>Граждане получили государственную социальную помощь на основании социального контракта с приоритетным предоставлением многодетным семьям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4"/>
                <w:lang w:val="ru-RU" w:eastAsia="ru-RU" w:bidi="ru-RU"/>
              </w:rPr>
              <w:t>Доля граждан, получающих социальную поддержку в органах социальной защиты населения, в общей численности населения АСГО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7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pacing w:val="-5"/>
                <w:sz w:val="20"/>
                <w:szCs w:val="20"/>
                <w:shd w:fill="FFFF00" w:val="clear"/>
                <w:lang w:eastAsia="zh-CN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7. Подпрограмма «Здоровье горожан»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7.1</w:t>
            </w:r>
          </w:p>
        </w:tc>
        <w:tc>
          <w:tcPr>
            <w:tcW w:w="144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b/>
                <w:bCs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pacing w:val="-5"/>
                <w:sz w:val="20"/>
                <w:szCs w:val="20"/>
                <w:shd w:fill="FFFFFF" w:val="clear"/>
                <w:lang w:eastAsia="zh-CN"/>
              </w:rPr>
              <w:t xml:space="preserve">Комплекс процессных мероприятий </w:t>
            </w: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pacing w:val="-4"/>
                <w:sz w:val="20"/>
                <w:szCs w:val="20"/>
                <w:shd w:fill="FFFFFF" w:val="clear"/>
                <w:lang w:eastAsia="zh-CN"/>
              </w:rPr>
              <w:t>«</w:t>
            </w:r>
            <w:r>
              <w:rPr>
                <w:rFonts w:cs="PT Astra Serif" w:ascii="PT Astra Serif" w:hAnsi="PT Astra Serif"/>
                <w:b/>
                <w:bCs/>
                <w:i/>
                <w:iCs/>
                <w:color w:val="000000"/>
                <w:sz w:val="20"/>
                <w:szCs w:val="20"/>
                <w:shd w:fill="FFFFFF" w:val="clear"/>
              </w:rPr>
              <w:t>Здоровье граждан»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Ответственный исполнитель программы: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Государственное автономное учреждение здравохранения Кемеровской области «Анжеро-Судженская городская больница имени А.А. Гороховского</w:t>
            </w:r>
          </w:p>
        </w:tc>
        <w:tc>
          <w:tcPr>
            <w:tcW w:w="71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65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Срок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(2026 - 2030гг)</w:t>
            </w:r>
          </w:p>
        </w:tc>
      </w:tr>
      <w:tr>
        <w:trPr>
          <w:trHeight w:val="344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7.1.1</w:t>
            </w:r>
          </w:p>
        </w:tc>
        <w:tc>
          <w:tcPr>
            <w:tcW w:w="7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Обеспечить систему здравоохранения высококвалифицированными кадрами</w:t>
            </w:r>
          </w:p>
        </w:tc>
        <w:tc>
          <w:tcPr>
            <w:tcW w:w="3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Привлечение молодых специалистов – врачей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  <w:highlight w:val="cyan"/>
              </w:rPr>
            </w:pPr>
            <w:r>
              <w:rPr>
                <w:rFonts w:cs="PT Astra Serif"/>
                <w:color w:val="000000"/>
                <w:sz w:val="20"/>
                <w:szCs w:val="20"/>
                <w:highlight w:val="cyan"/>
              </w:rPr>
            </w:r>
          </w:p>
        </w:tc>
      </w:tr>
    </w:tbl>
    <w:p>
      <w:pPr>
        <w:pStyle w:val="Normal"/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rPr/>
      </w:pPr>
      <w:r>
        <w:rPr>
          <w:b/>
          <w:bCs/>
          <w:szCs w:val="28"/>
        </w:rPr>
        <w:t>4. Финансовое</w:t>
      </w:r>
      <w:r>
        <w:rPr>
          <w:b/>
          <w:bCs/>
          <w:spacing w:val="-4"/>
          <w:szCs w:val="28"/>
        </w:rPr>
        <w:t xml:space="preserve"> </w:t>
      </w:r>
      <w:r>
        <w:rPr>
          <w:b/>
          <w:bCs/>
          <w:szCs w:val="28"/>
        </w:rPr>
        <w:t>обеспечение</w:t>
      </w:r>
      <w:r>
        <w:rPr>
          <w:b/>
          <w:bCs/>
          <w:spacing w:val="-1"/>
          <w:szCs w:val="28"/>
        </w:rPr>
        <w:t xml:space="preserve"> </w:t>
      </w:r>
      <w:r>
        <w:rPr>
          <w:b/>
          <w:bCs/>
        </w:rPr>
        <w:t>муниципальной программы</w:t>
      </w:r>
    </w:p>
    <w:tbl>
      <w:tblPr>
        <w:tblStyle w:val="TableNormal"/>
        <w:tblW w:w="14956" w:type="dxa"/>
        <w:jc w:val="left"/>
        <w:tblInd w:w="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178"/>
        <w:gridCol w:w="1327"/>
        <w:gridCol w:w="1365"/>
        <w:gridCol w:w="1411"/>
        <w:gridCol w:w="1304"/>
        <w:gridCol w:w="1246"/>
        <w:gridCol w:w="1124"/>
      </w:tblGrid>
      <w:tr>
        <w:trPr>
          <w:trHeight w:val="332" w:hRule="atLeast"/>
        </w:trPr>
        <w:tc>
          <w:tcPr>
            <w:tcW w:w="7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6673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Наименование муниципальной программы, структурного элемента / источник финансового </w:t>
            </w:r>
            <w:r>
              <w:rPr>
                <w:rFonts w:eastAsia="Source Han Sans CN Regular" w:cs="Lohit Devanagari"/>
                <w:spacing w:val="-3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</w:t>
            </w:r>
            <w:bookmarkStart w:id="22" w:name="_bookmark3"/>
            <w:bookmarkEnd w:id="22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6435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Объем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337" w:hRule="atLeast"/>
        </w:trPr>
        <w:tc>
          <w:tcPr>
            <w:tcW w:w="7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Всего</w:t>
            </w:r>
          </w:p>
        </w:tc>
      </w:tr>
      <w:tr>
        <w:trPr>
          <w:trHeight w:val="349" w:hRule="atLeast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375 126,4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371 862,2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371 862,2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1 118 850,8</w:t>
            </w:r>
          </w:p>
        </w:tc>
      </w:tr>
      <w:tr>
        <w:trPr>
          <w:trHeight w:val="287" w:hRule="atLeast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22 768,2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60 460,2</w:t>
            </w:r>
          </w:p>
        </w:tc>
      </w:tr>
      <w:tr>
        <w:trPr>
          <w:trHeight w:val="285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313190,6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314237,2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314237,2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941 665,0</w:t>
            </w:r>
          </w:p>
        </w:tc>
      </w:tr>
      <w:tr>
        <w:trPr>
          <w:trHeight w:val="211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30 067,6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29 679,0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29 679,0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89 425,6</w:t>
            </w:r>
          </w:p>
        </w:tc>
      </w:tr>
      <w:tr>
        <w:trPr>
          <w:trHeight w:val="290" w:hRule="atLeast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9 100,0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27 300,0</w:t>
            </w:r>
          </w:p>
        </w:tc>
      </w:tr>
      <w:tr>
        <w:trPr>
          <w:trHeight w:val="290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bookmarkStart w:id="23" w:name="__DdeLink__11175_991871113_Копия_1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Объем налоговых расходов субъекта Российской Федерации (справочно)</w:t>
            </w:r>
            <w:bookmarkEnd w:id="23"/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  <w:lang w:eastAsia="zh-CN"/>
              </w:rPr>
            </w:pPr>
            <w:r>
              <w:rPr>
                <w:color w:val="C9211E"/>
                <w:sz w:val="18"/>
                <w:szCs w:val="18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C9211E"/>
                <w:sz w:val="18"/>
                <w:szCs w:val="18"/>
                <w:lang w:eastAsia="zh-CN"/>
              </w:rPr>
            </w:pPr>
            <w:r>
              <w:rPr>
                <w:i/>
                <w:color w:val="C9211E"/>
                <w:sz w:val="18"/>
                <w:szCs w:val="18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C9211E"/>
                <w:sz w:val="18"/>
                <w:szCs w:val="18"/>
                <w:lang w:eastAsia="zh-CN"/>
              </w:rPr>
            </w:pPr>
            <w:r>
              <w:rPr>
                <w:i/>
                <w:color w:val="C9211E"/>
                <w:sz w:val="18"/>
                <w:szCs w:val="18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C9211E"/>
                <w:sz w:val="18"/>
                <w:szCs w:val="18"/>
                <w:lang w:eastAsia="zh-CN"/>
              </w:rPr>
            </w:pPr>
            <w:r>
              <w:rPr>
                <w:i/>
                <w:color w:val="C9211E"/>
                <w:sz w:val="18"/>
                <w:szCs w:val="18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C9211E"/>
                <w:sz w:val="18"/>
                <w:szCs w:val="18"/>
              </w:rPr>
            </w:pPr>
            <w:r>
              <w:rPr>
                <w:i/>
                <w:color w:val="C9211E"/>
                <w:sz w:val="18"/>
                <w:szCs w:val="18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C9211E"/>
                <w:sz w:val="18"/>
                <w:szCs w:val="18"/>
              </w:rPr>
            </w:pPr>
            <w:r>
              <w:rPr>
                <w:i/>
                <w:color w:val="C9211E"/>
                <w:sz w:val="18"/>
                <w:szCs w:val="18"/>
              </w:rPr>
            </w:r>
          </w:p>
        </w:tc>
      </w:tr>
      <w:tr>
        <w:trPr>
          <w:trHeight w:val="237" w:hRule="atLeast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iCs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 «Милосердие»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9 264,4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kern w:val="2"/>
                <w:sz w:val="18"/>
                <w:szCs w:val="18"/>
                <w:lang w:val="ru-RU" w:eastAsia="ru-RU" w:bidi="ru-RU"/>
              </w:rPr>
              <w:t>27 016,0</w:t>
            </w:r>
          </w:p>
        </w:tc>
      </w:tr>
      <w:tr>
        <w:trPr>
          <w:trHeight w:val="237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  <w:lang w:eastAsia="zh-CN"/>
              </w:rPr>
            </w:pPr>
            <w:r>
              <w:rPr>
                <w:color w:val="C9211E"/>
                <w:sz w:val="18"/>
                <w:szCs w:val="18"/>
                <w:lang w:eastAsia="zh-CN"/>
              </w:rPr>
            </w:r>
          </w:p>
        </w:tc>
      </w:tr>
      <w:tr>
        <w:trPr>
          <w:trHeight w:val="237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  <w:lang w:eastAsia="zh-CN"/>
              </w:rPr>
            </w:pPr>
            <w:r>
              <w:rPr>
                <w:color w:val="C9211E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9 264,4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kern w:val="2"/>
                <w:sz w:val="18"/>
                <w:szCs w:val="18"/>
                <w:lang w:val="ru-RU" w:eastAsia="ru-RU" w:bidi="ru-RU"/>
              </w:rPr>
              <w:t>27 016,0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0,0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PT Astra Serif" w:cs="PT Astra Serif"/>
                <w:iCs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61 069,2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20 356,4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20 356,4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zh-CN" w:bidi="ru-RU"/>
              </w:rPr>
              <w:t>20 356,4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61 069,2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МЕРОПРИЯТИЙ«Доступная среда»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МЕРОПРИЯТИЙ«Совершенствование системы управления 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информационного обеспечения в сфере социальной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поддержки и социального обслуживания населения»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140 876,4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140 876,4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1 340,4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«Повышение качества и доступности социальных услуг»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285 452,8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282 577,2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282 577,2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850 607,2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22 768,2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60 460,2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253 584,6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254 631,2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254 631,2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762 847,0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27 300,0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«Развитие мер социальной поддержки отдельных категорий граждан»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en-US" w:eastAsia="ru-RU" w:bidi="ru-RU"/>
              </w:rPr>
              <w:t>39 282,0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39 282,0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  <w:lang w:eastAsia="zh-CN"/>
              </w:rPr>
            </w:pPr>
            <w:r>
              <w:rPr>
                <w:color w:val="C9211E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  <w:lang w:eastAsia="zh-CN"/>
              </w:rPr>
            </w:pPr>
            <w:r>
              <w:rPr>
                <w:color w:val="C9211E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val="solid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PT Astra Serif" w:cs="PT Astra Serif"/>
                <w:iCs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 </w:t>
            </w:r>
            <w:r>
              <w:rPr>
                <w:rFonts w:eastAsia="PT Astra Serif" w:cs="PT Astra Serif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>КОМПЛЕКС ПРОЦЕССНЫХ МЕРОПРИЯТИЙ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00" w:val="clear"/>
                <w:lang w:val="ru-RU" w:eastAsia="zh-CN" w:bidi="ru-RU"/>
              </w:rPr>
              <w:t xml:space="preserve">«Здоровье горожан»              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 (справочно)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  <w:tr>
        <w:trPr>
          <w:trHeight w:val="288" w:hRule="atLeast"/>
        </w:trPr>
        <w:tc>
          <w:tcPr>
            <w:tcW w:w="7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bidi="ru-RU"/>
              </w:rPr>
            </w:pPr>
            <w:r>
              <w:rPr>
                <w:rFonts w:eastAsia="PT Astra Serif" w:cs="PT Astra Serif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</w:r>
          </w:p>
        </w:tc>
      </w:tr>
    </w:tbl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br w:type="page"/>
      </w:r>
      <w:r>
        <w:rPr>
          <w:rFonts w:cs="Times New Roman" w:ascii="PT Astra Serif" w:hAnsi="PT Astra Serif"/>
          <w:color w:val="000000"/>
        </w:rPr>
        <w:t>Приложение № 3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>
          <w:szCs w:val="28"/>
        </w:rPr>
      </w:pPr>
      <w:r>
        <w:rPr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>комплекса</w:t>
      </w:r>
      <w:r>
        <w:rPr>
          <w:spacing w:val="-4"/>
          <w:szCs w:val="28"/>
        </w:rPr>
        <w:t xml:space="preserve"> </w:t>
      </w:r>
      <w:r>
        <w:rPr>
          <w:szCs w:val="28"/>
        </w:rPr>
        <w:t>процессных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мероприятий</w:t>
      </w:r>
    </w:p>
    <w:p>
      <w:pPr>
        <w:pStyle w:val="Normal"/>
        <w:rPr>
          <w:szCs w:val="28"/>
        </w:rPr>
      </w:pPr>
      <w:r>
        <w:rPr>
          <w:szCs w:val="28"/>
        </w:rPr>
        <w:t>1. «Милосердие»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</w:t>
            </w:r>
            <w:bookmarkStart w:id="24" w:name="_bookmark7"/>
            <w:bookmarkEnd w:id="24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Выполнить обязательства по социальной поддержке отдельных категорий граждан, оказавшихся в трудной жизненной ситуации, за счет оказания им целевой адресной помощи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»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PT Astra Serif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Таблица №3 Программы пункт 1.1.1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граждан, получивших адресную помощь, от общей численности обратившихся граждан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Задача «Поддержка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деятельности»Таблица №3 Программы пункт 1.2.1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общественных организаций, получивших поддержку в текущем году по сравнению с предыдущим годом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100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  <w:tr>
        <w:trPr>
          <w:trHeight w:val="390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shd w:fill="FFFFFF" w:val="clear"/>
              </w:rPr>
            </w:pPr>
            <w:r>
              <w:rPr>
                <w:rFonts w:cs="PT Astra Serif" w:ascii="PT Astra Serif" w:hAnsi="PT Astra Serif"/>
                <w:sz w:val="20"/>
                <w:szCs w:val="20"/>
                <w:shd w:fill="FFFFFF" w:val="clear"/>
                <w:lang w:eastAsia="zh-CN"/>
              </w:rPr>
              <w:t>Задача «Выполнить обязательства по социальной поддержке инвалидов, состоящих на учете в службе занятости»</w:t>
            </w:r>
          </w:p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shd w:fill="FFFFFF" w:val="clear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  <w:shd w:fill="FFFFFF" w:val="clear"/>
                <w:lang w:eastAsia="zh-CN"/>
              </w:rPr>
              <w:t>Таблица №3 Программы пункт 1.3.1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3.1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Кол-во временно трудоустроенных граждан, состоящих на учете в службе занятости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Чел.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Администрация города</w:t>
            </w:r>
          </w:p>
        </w:tc>
      </w:tr>
      <w:tr>
        <w:trPr>
          <w:trHeight w:val="562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 xml:space="preserve">Задача «Выполнить обязательства по социальной поддержки семей мобилизованных и членов семей, погибших (умерших) при выполнении задач в ходе специальной военной операции»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1.4.1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4.1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</w:rPr>
              <w:t xml:space="preserve">Кол-во семей граждан, </w:t>
            </w:r>
            <w:r>
              <w:rPr>
                <w:rFonts w:cs="PT Astra Serif" w:ascii="PT Astra Serif" w:hAnsi="PT Astra Serif"/>
                <w:iCs/>
                <w:color w:val="000000"/>
                <w:sz w:val="20"/>
                <w:szCs w:val="20"/>
              </w:rPr>
              <w:t>принимавших (принимающих) участие в боевых действиях 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iCs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iCs/>
                <w:color w:val="000000"/>
                <w:kern w:val="2"/>
                <w:sz w:val="20"/>
                <w:szCs w:val="20"/>
                <w:lang w:val="ru-RU" w:eastAsia="ru-RU" w:bidi="ru-RU"/>
              </w:rPr>
              <w:t>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операции, обратившихся за поддержкой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Чел.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u w:val="single" w:color="FFFFFF"/>
                <w:lang w:val="ru-RU" w:eastAsia="zh-CN" w:bidi="ru-RU"/>
              </w:rPr>
              <w:t>&gt;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290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u w:val="single" w:color="FFFFFF"/>
                <w:lang w:val="ru-RU" w:eastAsia="zh-CN" w:bidi="ru-RU"/>
              </w:rPr>
              <w:t>&gt;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290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 xml:space="preserve">Управления социальной защиты населения администрации Анжеро-Судженкого городского округа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Управление жилищно — коммунального хозяйства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 xml:space="preserve">администрации Анжеро-Судженкого городского округа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образования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администрации Анжеро-Судженкого городского округа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lang w:eastAsia="zh-CN"/>
        </w:rPr>
        <w:t>3. План достижения показателей комплекса процессных мероприятий в  2026  году</w:t>
      </w:r>
    </w:p>
    <w:tbl>
      <w:tblPr>
        <w:tblStyle w:val="TableNormal"/>
        <w:tblW w:w="15169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58"/>
        <w:gridCol w:w="2856"/>
        <w:gridCol w:w="1036"/>
        <w:gridCol w:w="1180"/>
        <w:gridCol w:w="792"/>
        <w:gridCol w:w="768"/>
        <w:gridCol w:w="525"/>
        <w:gridCol w:w="644"/>
        <w:gridCol w:w="528"/>
        <w:gridCol w:w="572"/>
        <w:gridCol w:w="516"/>
        <w:gridCol w:w="611"/>
        <w:gridCol w:w="781"/>
        <w:gridCol w:w="780"/>
        <w:gridCol w:w="649"/>
        <w:gridCol w:w="2269"/>
      </w:tblGrid>
      <w:tr>
        <w:trPr>
          <w:tblHeader w:val="true"/>
          <w:trHeight w:val="349" w:hRule="atLeast"/>
        </w:trPr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 года</w:t>
            </w:r>
          </w:p>
        </w:tc>
      </w:tr>
      <w:tr>
        <w:trPr>
          <w:tblHeader w:val="true"/>
          <w:trHeight w:val="661" w:hRule="atLeast"/>
        </w:trPr>
        <w:tc>
          <w:tcPr>
            <w:tcW w:w="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0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 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Выполнить обязательства по социальной поддержке отдельных категорий граждан, оказавшихся в трудной жизненной ситуации, за счет оказания им целевой адресной помощи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граждан, получивших адресную помощь, от общей численности обратившихся граждан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70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72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74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76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78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80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82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84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86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88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</w:t>
            </w:r>
          </w:p>
        </w:tc>
        <w:tc>
          <w:tcPr>
            <w:tcW w:w="1450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lang w:val="ru-RU" w:eastAsia="ru-RU" w:bidi="ru-RU"/>
              </w:rPr>
              <w:t>Задача «Поддержка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деятельности»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Доля общественных организаций, получивших поддержку в текущем году по сравнению с предыдущим годом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</w:t>
            </w:r>
          </w:p>
        </w:tc>
        <w:tc>
          <w:tcPr>
            <w:tcW w:w="1450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cs="PT Astra Serif" w:ascii="PT Astra Serif" w:hAnsi="PT Astra Serif"/>
                <w:sz w:val="20"/>
                <w:szCs w:val="20"/>
                <w:lang w:eastAsia="zh-CN"/>
              </w:rPr>
              <w:t>Задача «Выполнить обязательства по социальной поддержке инвалидов, состоящих на учете в службе занятости»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3.1</w:t>
            </w:r>
          </w:p>
        </w:tc>
        <w:tc>
          <w:tcPr>
            <w:tcW w:w="2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Кол-во временно трудоустроенных граждан, состоящих на учете в службе занятости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Чел.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-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-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-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-</w:t>
            </w: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-</w:t>
            </w:r>
          </w:p>
        </w:tc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</w:t>
            </w:r>
          </w:p>
        </w:tc>
        <w:tc>
          <w:tcPr>
            <w:tcW w:w="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</w:t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4.</w:t>
            </w:r>
          </w:p>
        </w:tc>
        <w:tc>
          <w:tcPr>
            <w:tcW w:w="1450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lang w:val="ru-RU" w:eastAsia="zh-CN" w:bidi="ru-RU"/>
              </w:rPr>
              <w:t>Задача «Выполнить обязательства по социальной поддержки семей мобилизованных и членов семей, погибших (умерших) при выполнении задач в ходе специальной военной операции»</w:t>
            </w:r>
          </w:p>
        </w:tc>
      </w:tr>
      <w:tr>
        <w:trPr>
          <w:trHeight w:val="386" w:hRule="atLeast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4.1</w:t>
            </w:r>
          </w:p>
        </w:tc>
        <w:tc>
          <w:tcPr>
            <w:tcW w:w="2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</w:rPr>
              <w:t xml:space="preserve">Кол-во семей граждан, </w:t>
            </w:r>
            <w:r>
              <w:rPr>
                <w:rFonts w:cs="PT Astra Serif" w:ascii="PT Astra Serif" w:hAnsi="PT Astra Serif"/>
                <w:iCs/>
                <w:color w:val="000000"/>
                <w:sz w:val="20"/>
                <w:szCs w:val="20"/>
              </w:rPr>
              <w:t>принимавших (принимающих) участие в боевых действиях 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iCs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iCs/>
                <w:color w:val="000000"/>
                <w:kern w:val="2"/>
                <w:sz w:val="20"/>
                <w:szCs w:val="20"/>
                <w:lang w:val="ru-RU" w:eastAsia="ru-RU" w:bidi="ru-RU"/>
              </w:rPr>
              <w:t>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операции, обратившихся за поддержкой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Чел.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20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40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u w:val="single" w:color="FFFFFF"/>
                <w:lang w:val="ru-RU" w:eastAsia="ru-RU" w:bidi="ru-RU"/>
              </w:rPr>
              <w:t>&gt;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60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80</w:t>
            </w: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120</w:t>
            </w:r>
          </w:p>
        </w:tc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240</w:t>
            </w:r>
          </w:p>
        </w:tc>
        <w:tc>
          <w:tcPr>
            <w:tcW w:w="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260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270</w:t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280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290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u w:val="single" w:color="FFFFFF"/>
                <w:lang w:val="en-US" w:eastAsia="zh-CN" w:bidi="ru-RU"/>
              </w:rPr>
              <w:t>&gt;</w:t>
            </w: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290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u w:val="single" w:color="FFFFFF"/>
                <w:lang w:val="ru-RU" w:eastAsia="zh-CN" w:bidi="ru-RU"/>
              </w:rPr>
              <w:t>&gt;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290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sz w:val="24"/>
          <w:lang w:eastAsia="zh-CN"/>
        </w:rPr>
        <w:t>4. Перечень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(результатов)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07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85"/>
        <w:gridCol w:w="3418"/>
        <w:gridCol w:w="1200"/>
        <w:gridCol w:w="2714"/>
        <w:gridCol w:w="1574"/>
        <w:gridCol w:w="765"/>
        <w:gridCol w:w="794"/>
        <w:gridCol w:w="676"/>
        <w:gridCol w:w="841"/>
        <w:gridCol w:w="796"/>
        <w:gridCol w:w="971"/>
        <w:gridCol w:w="743"/>
      </w:tblGrid>
      <w:tr>
        <w:trPr>
          <w:trHeight w:val="404" w:hRule="atLeast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07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 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Выполнить обязательства по социальной поддержке отдельных категорий граждан, оказавшихся в трудной жизненной ситуации, за счет оказания им целевой адресной помощи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73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 1.1. «Предоставлена адресеная помощь гражданам, оказавшимся в трудной жизненой ситуации»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Выплата физическим лицам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Оказание адресной  помощи отдельным категориям граждан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96</w:t>
            </w:r>
          </w:p>
        </w:tc>
      </w:tr>
      <w:tr>
        <w:trPr>
          <w:trHeight w:val="373" w:hRule="atLeast"/>
        </w:trPr>
        <w:tc>
          <w:tcPr>
            <w:tcW w:w="15077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деятельности»</w:t>
            </w:r>
          </w:p>
        </w:tc>
      </w:tr>
      <w:tr>
        <w:trPr>
          <w:trHeight w:val="373" w:hRule="atLeast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 1.2. «Предоставлено частичное возмещение затрат»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Выплата НКО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Times New Roman" w:ascii="Times New Roman" w:hAnsi="Times New Roman"/>
                <w:color w:val="000000"/>
                <w:kern w:val="2"/>
                <w:sz w:val="20"/>
                <w:szCs w:val="20"/>
                <w:lang w:val="ru-RU" w:eastAsia="ru-RU" w:bidi="ru-RU"/>
              </w:rPr>
              <w:t>Частичное возмещение затрат, связанных с осуществлением деятельности общественных организаций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971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  <w:tr>
        <w:trPr>
          <w:trHeight w:val="373" w:hRule="atLeast"/>
        </w:trPr>
        <w:tc>
          <w:tcPr>
            <w:tcW w:w="15077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  <w:lang w:eastAsia="zh-CN"/>
              </w:rPr>
              <w:t>Задача «Выполнить обязательства по социальной поддержке инвалидов, состоящих на учете в службе занятости»</w:t>
            </w:r>
          </w:p>
        </w:tc>
      </w:tr>
      <w:tr>
        <w:trPr>
          <w:trHeight w:val="405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 1.3.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Организовано трудоустройство граждан с ограниченнми возможностями, сотоящие на учете в службе занятости»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Выплата физическим лицам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Организация временных работ для безработных граждан, состоящих на учете в службе занятости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чел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15077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«Выполнить обязательства по социальной поддержки семей мобилизованных и членов семей, погибших (умерших) при выполнении задач в ходе специальной военной операции»</w:t>
            </w:r>
          </w:p>
        </w:tc>
      </w:tr>
      <w:tr>
        <w:trPr>
          <w:trHeight w:val="405" w:hRule="atLeast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4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 1.4.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Предоставлена социальная поддержка семьям  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и членам семей, погибших (умерших) при выполнении задач в ходе СВО в виде услуг по организации и доставке твердого топлива, дров, работ по ремонту и содержанию жилых помещений и прилегающих территорий»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Предоставление услуги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</w:rPr>
              <w:t xml:space="preserve">Улучшение условий проживания семей граждан, </w:t>
            </w:r>
            <w:r>
              <w:rPr>
                <w:rFonts w:cs="PT Astra Serif" w:ascii="PT Astra Serif" w:hAnsi="PT Astra Serif"/>
                <w:iCs/>
                <w:color w:val="000000"/>
                <w:sz w:val="20"/>
                <w:szCs w:val="20"/>
              </w:rPr>
              <w:t>принимавших (принимающих) участие в боевых действиях в специальной военной операции и членов семей, погибших (умерших) при выполнении задач в ходе специальной военной операции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чел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u w:val="single" w:color="FFFFFF"/>
                <w:lang w:val="ru-RU" w:eastAsia="ru-RU" w:bidi="ru-RU"/>
              </w:rPr>
              <w:t>&gt;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290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u w:val="single" w:color="FFFFFF"/>
                <w:lang w:val="ru-RU" w:eastAsia="ru-RU" w:bidi="ru-RU"/>
              </w:rPr>
              <w:t>&gt;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290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971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</w:tr>
    </w:tbl>
    <w:p>
      <w:pPr>
        <w:pStyle w:val="Normal"/>
        <w:spacing w:before="0" w:after="0"/>
        <w:contextualSpacing/>
        <w:rPr/>
      </w:pPr>
      <w:r>
        <w:rPr/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«Милосердие»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9 264,4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9 264,4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8 875,8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 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Выполнить обязательства по социальной поддержке отдельных категорий граждан, оказавшихся в трудной жизненной ситуации, за счет оказания им целевой адресной помощи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Мероприятие 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«Адресная помощь»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4 280,7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3 998,5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3 998,6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4 280,7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3 998,5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3 998,6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Мероприятие 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«Финансовая поддержка общественных организаций»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2027,0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2027,0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2027,0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2027,0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2027,0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2027,0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  <w:lang w:eastAsia="zh-CN"/>
              </w:rPr>
              <w:t>Задача «Выполнить обязательства по социальной поддержке инвалидов, состоящих на учете в службе занятости»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«Поддержка пенсионеров и инвалидов»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502,7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494,3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494,3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502,7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494,3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494,3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«Выполнить обязательства по социальной поддержки семей мобилизованных и членов семей, погибших (умерших) при выполнении задач в ходе специальной военной операции»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Мероприятие 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b/>
                <w:bCs/>
                <w:iCs/>
                <w:color w:val="000000"/>
                <w:kern w:val="2"/>
                <w:sz w:val="20"/>
                <w:szCs w:val="20"/>
                <w:lang w:val="ru-RU" w:eastAsia="zh-CN" w:bidi="ru-RU"/>
              </w:rPr>
              <w:t>Поддержка семей граждан, принимавших (принимающих) участие в боевых действиях в 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2 454,0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2 355,9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2 355,9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2 454,0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2 355,9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2 355,9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/>
      </w:pPr>
      <w:r>
        <w:rPr/>
      </w:r>
    </w:p>
    <w:p>
      <w:pPr>
        <w:pStyle w:val="Normal"/>
        <w:rPr/>
      </w:pPr>
      <w:r>
        <w:rPr>
          <w:sz w:val="24"/>
        </w:rPr>
        <w:t>6. План реализации комплекса процессных мероприятий</w:t>
      </w:r>
    </w:p>
    <w:tbl>
      <w:tblPr>
        <w:tblStyle w:val="TableNormal"/>
        <w:tblW w:w="15183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08"/>
        <w:gridCol w:w="2595"/>
        <w:gridCol w:w="3208"/>
        <w:gridCol w:w="4671"/>
      </w:tblGrid>
      <w:tr>
        <w:trPr>
          <w:trHeight w:val="1053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pBdr>
                <w:top w:val="single" w:sz="8" w:space="3" w:color="000000"/>
              </w:pBdr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Задача, мероприятие (результат) / контрольная точка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pBdr>
                <w:top w:val="single" w:sz="8" w:space="3" w:color="000000"/>
              </w:pBdr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Дата наступления контрольной     точки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pBdr>
                <w:top w:val="single" w:sz="8" w:space="3" w:color="000000"/>
              </w:pBdr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Ответственный исполнитель (Ф.И.О., должность, наименование организации (участник муниципальной программы)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pBdr>
                <w:top w:val="single" w:sz="8" w:space="3" w:color="000000"/>
              </w:pBdr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Вид подтверждающего документа</w:t>
            </w:r>
          </w:p>
        </w:tc>
      </w:tr>
      <w:tr>
        <w:trPr>
          <w:trHeight w:val="421" w:hRule="atLeast"/>
        </w:trPr>
        <w:tc>
          <w:tcPr>
            <w:tcW w:w="151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Задача «Выполнить обязательства по социальной поддержке отдельных категорий граждан, оказавшихся в трудной жизненной ситуации, за счет оказания им целевой адресной помощи»</w:t>
            </w:r>
          </w:p>
        </w:tc>
      </w:tr>
      <w:tr>
        <w:trPr>
          <w:trHeight w:val="299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Мероприятие (результат) 1.1. «Предоставлена адресеная помощь гражданам, оказавшимся в трудной жизненой ситуации»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Контрольная точка 1.1 Осуществлен мониторинг достижения плановых значений целевых показателей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Чикунова Юлия Валерьевна, главный специалист УСЗН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Отчет об исполнении муниципальной программы</w:t>
            </w:r>
          </w:p>
        </w:tc>
      </w:tr>
      <w:tr>
        <w:trPr>
          <w:trHeight w:val="298" w:hRule="atLeast"/>
        </w:trPr>
        <w:tc>
          <w:tcPr>
            <w:tcW w:w="151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Задача «Поддержка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деятельности»</w:t>
            </w:r>
          </w:p>
        </w:tc>
      </w:tr>
      <w:tr>
        <w:trPr>
          <w:trHeight w:val="299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Мероприятие (результат) 1.2. «Предоставлено частичное возмещение затрат»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Контрольная точка 1.2 Осуществлен мониторинг достижения плановых значений целевых показателей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Чикунова Юлия Валерьевна, главный специалист УСЗН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Отчет об исполнении муниципальной программы</w:t>
            </w:r>
          </w:p>
        </w:tc>
      </w:tr>
      <w:tr>
        <w:trPr>
          <w:trHeight w:val="303" w:hRule="atLeast"/>
        </w:trPr>
        <w:tc>
          <w:tcPr>
            <w:tcW w:w="151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rFonts w:ascii="PT Astra Serif" w:hAnsi="PT Astra Serif" w:eastAsia="Source Han Sans CN Regular" w:cs="Lohit Devanagari"/>
                <w:sz w:val="20"/>
                <w:szCs w:val="20"/>
                <w:lang w:bidi="ru-RU"/>
              </w:rPr>
            </w:pPr>
            <w:r>
              <w:rPr>
                <w:rFonts w:eastAsia="Source Han Sans CN Regular" w:cs="Lohit Devanagari" w:ascii="PT Astra Serif" w:hAnsi="PT Astra Serif"/>
                <w:sz w:val="20"/>
                <w:szCs w:val="20"/>
                <w:lang w:bidi="ru-RU"/>
              </w:rPr>
              <w:t>Задача «Выполнить обязательства по социальной поддержке инвалидов, состоящих на учете в службе занятости»</w:t>
            </w:r>
          </w:p>
        </w:tc>
      </w:tr>
      <w:tr>
        <w:trPr>
          <w:trHeight w:val="303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Мероприятие 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1.3. «Организовано трудоустройство граждан с ограниченнми возможностями, сотоящие на учете в службе занятости»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303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Контрольная точка 1.3 Осуществлен мониторинг достижения плановых значений целевых показателей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Чикунова Юлия Валерьевна, главный специалист УСЗН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Отчет об исполнении муниципальной программы</w:t>
            </w:r>
          </w:p>
        </w:tc>
      </w:tr>
      <w:tr>
        <w:trPr>
          <w:trHeight w:val="303" w:hRule="atLeast"/>
        </w:trPr>
        <w:tc>
          <w:tcPr>
            <w:tcW w:w="151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Задача «Выполнить обязательства по социальной поддержки семей мобилизованных и членов семей, погибших (умерших) при выполнении задач в ходе специальной военной операции»</w:t>
            </w:r>
          </w:p>
        </w:tc>
      </w:tr>
      <w:tr>
        <w:trPr>
          <w:trHeight w:val="303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Мероприятие 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1.4. «Предоставлена социальная поддержка семьям   и членам семей, погибших (умерших) при выполнении задач в ходе СВО в виде услуг по организации и доставке твердого топлива, дров, работ по ремонту и содержанию жилых помещений и прилегающих территорий»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Чикунова Юлия Валерьевна, главный специалист УСЗН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Отчет об исполнении муниципальной программы</w:t>
            </w:r>
          </w:p>
        </w:tc>
      </w:tr>
      <w:tr>
        <w:trPr>
          <w:trHeight w:val="303" w:hRule="atLeast"/>
        </w:trPr>
        <w:tc>
          <w:tcPr>
            <w:tcW w:w="4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Контрольная точка 1.3 Осуществлен мониторинг достижения плановых значений целевых показателей</w:t>
            </w:r>
          </w:p>
        </w:tc>
        <w:tc>
          <w:tcPr>
            <w:tcW w:w="2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Чикунова Юлия Валерьевна, главный специалист УСЗН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Отчет об исполнении муниципальной программы</w:t>
            </w:r>
          </w:p>
        </w:tc>
      </w:tr>
    </w:tbl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br w:type="page"/>
      </w:r>
      <w:r>
        <w:rPr>
          <w:rFonts w:cs="Times New Roman" w:ascii="PT Astra Serif" w:hAnsi="PT Astra Serif"/>
          <w:color w:val="000000"/>
        </w:rPr>
        <w:t>Приложение № 4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/>
      </w:pPr>
      <w:r>
        <w:rPr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>комплекса</w:t>
      </w:r>
      <w:r>
        <w:rPr>
          <w:spacing w:val="-4"/>
          <w:szCs w:val="28"/>
        </w:rPr>
        <w:t xml:space="preserve"> </w:t>
      </w:r>
      <w:r>
        <w:rPr>
          <w:szCs w:val="28"/>
        </w:rPr>
        <w:t>процессных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мероприятий</w:t>
      </w:r>
    </w:p>
    <w:p>
      <w:pPr>
        <w:pStyle w:val="Normal"/>
        <w:rPr>
          <w:szCs w:val="28"/>
        </w:rPr>
      </w:pPr>
      <w:r>
        <w:rPr>
          <w:color w:val="000000"/>
          <w:spacing w:val="-5"/>
          <w:szCs w:val="28"/>
          <w:lang w:eastAsia="zh-CN"/>
        </w:rPr>
        <w:t>2. 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</w:t>
            </w:r>
            <w:bookmarkStart w:id="25" w:name="_bookmark7_Копия_1"/>
            <w:bookmarkEnd w:id="25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» </w:t>
            </w:r>
            <w:r>
              <w:rPr>
                <w:rFonts w:eastAsia="Source Han Sans CN Regular" w:cs="PT Astra Serif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2.1.1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лиц, замещавших муниципальные должности и должности муниципальной службы муниципального образования АСГО, получившие поддержку в виде пенсии за выслугу лет, от общей численности лиц, обратившихся в управление социальной защиты населения АСГО за назначением данной выплаты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lang w:eastAsia="zh-CN"/>
        </w:rPr>
        <w:t>3. План достижения показателей комплекса процессных мероприятий в 2026  году</w:t>
      </w:r>
    </w:p>
    <w:tbl>
      <w:tblPr>
        <w:tblStyle w:val="TableNormal"/>
        <w:tblW w:w="15164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23"/>
        <w:gridCol w:w="2875"/>
        <w:gridCol w:w="1037"/>
        <w:gridCol w:w="1175"/>
        <w:gridCol w:w="792"/>
        <w:gridCol w:w="778"/>
        <w:gridCol w:w="517"/>
        <w:gridCol w:w="647"/>
        <w:gridCol w:w="519"/>
        <w:gridCol w:w="588"/>
        <w:gridCol w:w="513"/>
        <w:gridCol w:w="605"/>
        <w:gridCol w:w="778"/>
        <w:gridCol w:w="779"/>
        <w:gridCol w:w="649"/>
        <w:gridCol w:w="2285"/>
      </w:tblGrid>
      <w:tr>
        <w:trPr>
          <w:tblHeader w:val="true"/>
          <w:trHeight w:val="349" w:hRule="atLeast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blHeader w:val="true"/>
          <w:trHeight w:val="661" w:hRule="atLeast"/>
        </w:trPr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3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86" w:hRule="atLeast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лиц, замещавших муниципальные должности и должности муниципальной службы муниципального образования АСГО, получившие поддержку в виде пенсии за выслугу лет, от общей численности лиц, обратившихся в управление социальной защиты населения АСГО за назначением данной выплаты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color w:val="000000"/>
          <w:sz w:val="24"/>
          <w:lang w:eastAsia="zh-CN"/>
        </w:rPr>
        <w:t>4. Перечень</w:t>
      </w:r>
      <w:r>
        <w:rPr>
          <w:color w:val="000000"/>
          <w:spacing w:val="-4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>мероприятий</w:t>
      </w:r>
      <w:r>
        <w:rPr>
          <w:color w:val="000000"/>
          <w:spacing w:val="-6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>(результатов)</w:t>
      </w:r>
      <w:r>
        <w:rPr>
          <w:color w:val="000000"/>
          <w:spacing w:val="-4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>комплекса</w:t>
      </w:r>
      <w:r>
        <w:rPr>
          <w:color w:val="000000"/>
          <w:spacing w:val="-1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>процессных</w:t>
      </w:r>
      <w:r>
        <w:rPr>
          <w:color w:val="000000"/>
          <w:spacing w:val="-6"/>
          <w:sz w:val="24"/>
          <w:lang w:eastAsia="zh-CN"/>
        </w:rPr>
        <w:t xml:space="preserve"> </w:t>
      </w:r>
      <w:r>
        <w:rPr>
          <w:color w:val="000000"/>
          <w:sz w:val="24"/>
          <w:lang w:eastAsia="zh-CN"/>
        </w:rPr>
        <w:t>мероприятий</w:t>
      </w:r>
    </w:p>
    <w:tbl>
      <w:tblPr>
        <w:tblStyle w:val="TableNormal"/>
        <w:tblW w:w="1515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59"/>
        <w:gridCol w:w="3418"/>
        <w:gridCol w:w="1202"/>
        <w:gridCol w:w="2711"/>
        <w:gridCol w:w="1573"/>
        <w:gridCol w:w="776"/>
        <w:gridCol w:w="785"/>
        <w:gridCol w:w="676"/>
        <w:gridCol w:w="1009"/>
        <w:gridCol w:w="873"/>
        <w:gridCol w:w="735"/>
        <w:gridCol w:w="736"/>
      </w:tblGrid>
      <w:tr>
        <w:trPr>
          <w:trHeight w:val="404" w:hRule="atLeast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6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73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2.1. «Выплачена пенсия за выслугу лет в соответствии  с решением Анжеро-Судженского городского совета народных депутатов от 26.11.2009 №396 «О пенсиях за выслугу лет лицам, замещавшим муниципальные должности и должности муниципальной службы муниципального образования «Анжеро-Судженский городской округ»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Выплата физическим лицам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Повышение социальной защищенности лиц, замещавших муниципальные должности и должности муниципальной службы в Анжеро-Судженском городском округе в виде пенсии за выслугу лет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</w:tbl>
    <w:p>
      <w:pPr>
        <w:pStyle w:val="Normal"/>
        <w:spacing w:before="0" w:after="0"/>
        <w:contextualSpacing/>
        <w:rPr/>
      </w:pPr>
      <w:r>
        <w:rPr/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Выплата пенсии за выслугу лет в соответствии  с решением Анжеро-Судженского городского совета народных депутатов от 26.11.2009 №396 «О пенсиях за выслугу лет лицам, замещавшим муниципальные должности и должности муниципальной службы муниципального образования «Анжеро-Судженский городской округ»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20 356,4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20 356,4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20 356,4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20 356,4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>
          <w:sz w:val="24"/>
        </w:rPr>
        <w:t>6. План реализации комплекса процессных мероприятий</w:t>
      </w:r>
    </w:p>
    <w:tbl>
      <w:tblPr>
        <w:tblStyle w:val="TableNormal"/>
        <w:tblW w:w="1521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40"/>
        <w:gridCol w:w="2594"/>
        <w:gridCol w:w="3201"/>
        <w:gridCol w:w="4678"/>
      </w:tblGrid>
      <w:tr>
        <w:trPr>
          <w:trHeight w:val="1053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Задача,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Дата наступления контрольной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исполнитель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(Ф.И.О., должность, наименование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организации (участник муниципальной 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Вид подтверждающего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7</w:t>
            </w:r>
          </w:p>
        </w:tc>
      </w:tr>
      <w:tr>
        <w:trPr>
          <w:trHeight w:val="421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Осуществить поддержку лиц, замещавших муниципальные должности и должности муниципальной службы по окончанию трудовой деятельности при выходе на пенсию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4818" w:leader="none"/>
              </w:tabs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2.1. «Выплачена пенсия за выслугу лет в соответствии  с решением Анжеро-Судженского городского совета народных депутатов от 26.11.2009 №396 «О пенсиях за выслугу лет лицам, замещавшим муниципальные должности и должности муниципальной службы муниципального образования «Анжеро-Судженский городской округ»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2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.1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</w:tbl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br w:type="page"/>
      </w:r>
      <w:r>
        <w:rPr>
          <w:rFonts w:cs="Times New Roman" w:ascii="PT Astra Serif" w:hAnsi="PT Astra Serif"/>
          <w:color w:val="000000"/>
        </w:rPr>
        <w:t>Приложение № 5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>
          <w:color w:val="000000"/>
        </w:rPr>
      </w:pPr>
      <w:r>
        <w:rPr>
          <w:color w:val="000000"/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>комплекса</w:t>
      </w:r>
      <w:r>
        <w:rPr>
          <w:spacing w:val="-4"/>
          <w:szCs w:val="28"/>
        </w:rPr>
        <w:t xml:space="preserve"> </w:t>
      </w:r>
      <w:r>
        <w:rPr>
          <w:szCs w:val="28"/>
        </w:rPr>
        <w:t>процессных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мероприятий</w:t>
      </w:r>
    </w:p>
    <w:p>
      <w:pPr>
        <w:pStyle w:val="Normal"/>
        <w:rPr>
          <w:szCs w:val="28"/>
        </w:rPr>
      </w:pPr>
      <w:r>
        <w:rPr>
          <w:color w:val="000000"/>
          <w:spacing w:val="-5"/>
          <w:szCs w:val="28"/>
          <w:lang w:eastAsia="zh-CN"/>
        </w:rPr>
        <w:t>3. «Доступная среда»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</w:t>
            </w:r>
            <w:bookmarkStart w:id="26" w:name="_bookmark7_Копия_1_Копия_1"/>
            <w:bookmarkEnd w:id="26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Обеспечить равные возможности во всех сферах жизнедеятельности для инвалидов и других маломобильных групп населения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BF819E" w:val="clear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3.1.1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инвалидов и детей - инвалидов, принимающих участие в мероприятиях культурной жизни города и спортивных соревнованиях от общего числа инвалидов общественных организаций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возрастание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образования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администрации Анжеро-Судженкого городского округа,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культуры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администрации Анжеро-Судженкого городского округа,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Комитет по физической культуре, спорту и молодежной политике администрации Анжеро-Судженкого городского округа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1.2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детей-инвалидов, которым созданы условия для получения качественного дошкольного, начального общего, основного общего, среднего общего образования от общей численности детей-инвалидов дошкольного и школьного возраста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возрастание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87,5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Управление образования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администрации Анжеро-Судженкого городского округ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shd w:fill="FFFFFF" w:val="clear"/>
          <w:lang w:eastAsia="zh-CN"/>
        </w:rPr>
        <w:t>3</w:t>
      </w:r>
      <w:r>
        <w:rPr>
          <w:sz w:val="24"/>
          <w:lang w:eastAsia="zh-CN"/>
        </w:rPr>
        <w:t>. План достижения показателей комплекса процессных мероприятий в 2026  году</w:t>
      </w:r>
    </w:p>
    <w:tbl>
      <w:tblPr>
        <w:tblStyle w:val="TableNormal"/>
        <w:tblW w:w="15160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47"/>
        <w:gridCol w:w="2856"/>
        <w:gridCol w:w="1035"/>
        <w:gridCol w:w="1178"/>
        <w:gridCol w:w="790"/>
        <w:gridCol w:w="776"/>
        <w:gridCol w:w="517"/>
        <w:gridCol w:w="649"/>
        <w:gridCol w:w="517"/>
        <w:gridCol w:w="590"/>
        <w:gridCol w:w="508"/>
        <w:gridCol w:w="611"/>
        <w:gridCol w:w="779"/>
        <w:gridCol w:w="779"/>
        <w:gridCol w:w="649"/>
        <w:gridCol w:w="2275"/>
      </w:tblGrid>
      <w:tr>
        <w:trPr>
          <w:tblHeader w:val="true"/>
          <w:trHeight w:val="349" w:hRule="atLeast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blHeader w:val="true"/>
          <w:trHeight w:val="661" w:hRule="atLeast"/>
        </w:trPr>
        <w:tc>
          <w:tcPr>
            <w:tcW w:w="6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0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Обеспечить равные возможности во всех сферах жизнедеятельности для инвалидов и других маломобильных групп населения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»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инвалидов и детей - инвалидов, принимающих участие в мероприятиях культурной жизни города и спортивных соревнованиях от общего числа инвалидов общественных организаций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65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70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1.2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детей-инвалидов, которым созданы условия для получения качественного дошкольного, начального общего, основного общего, среднего общего образования от общей численности детей-инвалидов дошкольного и школьного возраста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60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85,1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85,2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86,1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86,2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86,5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86,5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sz w:val="24"/>
          <w:lang w:eastAsia="zh-CN"/>
        </w:rPr>
        <w:t>4. Перечень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(результатов)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5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59"/>
        <w:gridCol w:w="3418"/>
        <w:gridCol w:w="1202"/>
        <w:gridCol w:w="2711"/>
        <w:gridCol w:w="1573"/>
        <w:gridCol w:w="776"/>
        <w:gridCol w:w="785"/>
        <w:gridCol w:w="676"/>
        <w:gridCol w:w="1009"/>
        <w:gridCol w:w="873"/>
        <w:gridCol w:w="735"/>
        <w:gridCol w:w="736"/>
      </w:tblGrid>
      <w:tr>
        <w:trPr>
          <w:trHeight w:val="404" w:hRule="atLeast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6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равные возможности во всех сферах жизнедеятельности для инвалидов и других маломобильных групп населения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73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3.1. 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Организованно и проведено фестивалей, конкурсов, концертов и спортивных мероприятий с участием инвалидов и детей инвалидов»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both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Оказание услуг (выполнения работ)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Организованы и проведены мероприятия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с участием инвалидов (детей-инвалидов) и других маломобильных групп населения Анжеро-Судженского городского округа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</w:tr>
      <w:tr>
        <w:trPr>
          <w:trHeight w:val="40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  <w:spacing w:val="-1"/>
                <w:lang w:eastAsia="zh-CN"/>
              </w:rPr>
              <w:t>Мероприятие</w:t>
            </w:r>
            <w:r>
              <w:rPr>
                <w:rFonts w:cs="PT Astra Serif" w:ascii="PT Astra Serif" w:hAnsi="PT Astra Serif"/>
                <w:color w:val="000000"/>
                <w:spacing w:val="-4"/>
                <w:lang w:eastAsia="zh-CN"/>
              </w:rPr>
              <w:t xml:space="preserve"> </w:t>
            </w:r>
            <w:r>
              <w:rPr>
                <w:rFonts w:cs="PT Astra Serif" w:ascii="PT Astra Serif" w:hAnsi="PT Astra Serif"/>
                <w:color w:val="000000"/>
                <w:spacing w:val="-1"/>
                <w:lang w:eastAsia="zh-CN"/>
              </w:rPr>
              <w:t>(результат)</w:t>
            </w:r>
          </w:p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  <w:spacing w:val="-1"/>
                <w:lang w:eastAsia="zh-CN"/>
              </w:rPr>
              <w:t>3.2. «</w:t>
            </w:r>
            <w:r>
              <w:rPr>
                <w:rFonts w:cs="PT Astra Serif" w:ascii="PT Astra Serif" w:hAnsi="PT Astra Serif"/>
                <w:color w:val="000000"/>
                <w:lang w:eastAsia="zh-CN"/>
              </w:rPr>
              <w:t>Создано в образовательных организациях условий для инклюзивного образования детей -инвалидов, в том числе создание универсальной безбарьерной среды для беспрепятственного доступа»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Приобретение товаров, работ, услуг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Формирование социально-адаптированной городской среды для инвалидов (детей-инвалидов) и других маломобильных групп населения Анжеро-Судженского городского округа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87,5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90</w:t>
            </w:r>
          </w:p>
        </w:tc>
      </w:tr>
    </w:tbl>
    <w:p>
      <w:pPr>
        <w:pStyle w:val="Normal"/>
        <w:spacing w:before="0" w:after="0"/>
        <w:contextualSpacing/>
        <w:rPr/>
      </w:pPr>
      <w:r>
        <w:rPr/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«Д</w:t>
            </w:r>
            <w:r>
              <w:rPr>
                <w:rFonts w:eastAsia="Source Han Sans CN Regular" w:cs="Lohit Devanagari"/>
                <w:b/>
                <w:bCs/>
                <w:iCs/>
                <w:spacing w:val="-1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ступная </w:t>
            </w:r>
            <w:r>
              <w:rPr>
                <w:rFonts w:eastAsia="Source Han Sans CN Regular" w:cs="Lohit Devanagari"/>
                <w:b/>
                <w:bCs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р</w:t>
            </w:r>
            <w:r>
              <w:rPr>
                <w:rFonts w:eastAsia="Source Han Sans CN Regular" w:cs="Lohit Devanagari"/>
                <w:b/>
                <w:bCs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е</w:t>
            </w:r>
            <w:r>
              <w:rPr>
                <w:rFonts w:eastAsia="Source Han Sans CN Regular" w:cs="Lohit Devanagari"/>
                <w:b/>
                <w:bCs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да»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 том 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равные возможности во всех сферах жизнедеятельности для инвалидов и других маломобильных групп населения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b/>
                <w:bCs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>«Организация и проведение фестивалей, конкурсов, концертов и спортивных мероприятий с участием инвалидов и детей инвалидов»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b/>
                <w:bCs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>«Создание в образовательных организациях условий для инклюзивного образования детей -инвалидов, в том числе создание универсальной безбарьерной среды для беспрепятственного доступа»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/>
      </w:pPr>
      <w:r>
        <w:rPr/>
      </w:r>
    </w:p>
    <w:p>
      <w:pPr>
        <w:pStyle w:val="Normal"/>
        <w:rPr/>
      </w:pPr>
      <w:r>
        <w:rPr>
          <w:sz w:val="22"/>
          <w:szCs w:val="22"/>
        </w:rPr>
        <w:t>6. План реализации комплекса процессных мероприятий</w:t>
      </w:r>
    </w:p>
    <w:tbl>
      <w:tblPr>
        <w:tblStyle w:val="TableNormal"/>
        <w:tblW w:w="1521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40"/>
        <w:gridCol w:w="2594"/>
        <w:gridCol w:w="3201"/>
        <w:gridCol w:w="4678"/>
      </w:tblGrid>
      <w:tr>
        <w:trPr>
          <w:trHeight w:val="1053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Задача,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Дата наступления контрольной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исполнитель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(Ф.И.О., должность, наименование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организации (участник муниципальной 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Вид подтверждающего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7</w:t>
            </w:r>
          </w:p>
        </w:tc>
      </w:tr>
      <w:tr>
        <w:trPr>
          <w:trHeight w:val="421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равные возможности во всех сферах жизнедеятельности для инвалидов и других маломобильных групп населения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3.1. 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Организованно и проведено фестивалей, конкурсов, концертов и спортивных мероприятий с участием инвалидов и детей инвалидов»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3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.1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  <w:tr>
        <w:trPr>
          <w:trHeight w:val="472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  <w:spacing w:val="-1"/>
                <w:lang w:eastAsia="zh-CN"/>
              </w:rPr>
              <w:t>Мероприятие</w:t>
            </w:r>
            <w:r>
              <w:rPr>
                <w:rFonts w:cs="PT Astra Serif" w:ascii="PT Astra Serif" w:hAnsi="PT Astra Serif"/>
                <w:color w:val="000000"/>
                <w:spacing w:val="-4"/>
                <w:lang w:eastAsia="zh-CN"/>
              </w:rPr>
              <w:t xml:space="preserve"> </w:t>
            </w:r>
            <w:r>
              <w:rPr>
                <w:rFonts w:cs="PT Astra Serif" w:ascii="PT Astra Serif" w:hAnsi="PT Astra Serif"/>
                <w:color w:val="000000"/>
                <w:spacing w:val="-1"/>
                <w:lang w:eastAsia="zh-CN"/>
              </w:rPr>
              <w:t>(результат)</w:t>
            </w:r>
          </w:p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  <w:spacing w:val="-1"/>
                <w:lang w:eastAsia="zh-CN"/>
              </w:rPr>
              <w:t>3.2. «</w:t>
            </w:r>
            <w:r>
              <w:rPr>
                <w:rFonts w:cs="PT Astra Serif" w:ascii="PT Astra Serif" w:hAnsi="PT Astra Serif"/>
                <w:color w:val="000000"/>
                <w:spacing w:val="-6"/>
                <w:lang w:eastAsia="zh-CN"/>
              </w:rPr>
              <w:t>Создано в образовательных организациях условий для инклюзивного образования детей -инвалидов, в том числе создание универсальной безбарьерной среды для беспрепятственного доступа»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3240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3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.2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</w:tbl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br w:type="page"/>
      </w:r>
      <w:r>
        <w:rPr>
          <w:rFonts w:cs="Times New Roman" w:ascii="PT Astra Serif" w:hAnsi="PT Astra Serif"/>
          <w:color w:val="000000"/>
        </w:rPr>
        <w:t>Приложение № 6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/>
      </w:pPr>
      <w:r>
        <w:rPr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>комплекса</w:t>
      </w:r>
      <w:r>
        <w:rPr>
          <w:spacing w:val="-4"/>
          <w:szCs w:val="28"/>
        </w:rPr>
        <w:t xml:space="preserve"> </w:t>
      </w:r>
      <w:r>
        <w:rPr>
          <w:szCs w:val="28"/>
        </w:rPr>
        <w:t>процессных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мероприятий</w:t>
      </w:r>
    </w:p>
    <w:p>
      <w:pPr>
        <w:pStyle w:val="Normal"/>
        <w:rPr>
          <w:szCs w:val="28"/>
        </w:rPr>
      </w:pPr>
      <w:r>
        <w:rPr>
          <w:color w:val="000000"/>
          <w:spacing w:val="-5"/>
          <w:szCs w:val="28"/>
          <w:lang w:eastAsia="zh-CN"/>
        </w:rPr>
        <w:t>4. «Совершенствование системы управления и</w:t>
      </w:r>
    </w:p>
    <w:p>
      <w:pPr>
        <w:pStyle w:val="Normal"/>
        <w:rPr>
          <w:szCs w:val="28"/>
        </w:rPr>
      </w:pPr>
      <w:r>
        <w:rPr>
          <w:color w:val="000000"/>
          <w:spacing w:val="-5"/>
          <w:szCs w:val="28"/>
          <w:lang w:eastAsia="zh-CN"/>
        </w:rPr>
        <w:t xml:space="preserve">информационного обеспечения в сфере социальной </w:t>
      </w:r>
      <w:r>
        <w:rPr>
          <w:color w:val="000000"/>
          <w:spacing w:val="-3"/>
          <w:szCs w:val="28"/>
          <w:lang w:eastAsia="zh-CN"/>
        </w:rPr>
        <w:t>поддержки и социального обслуживания населения</w:t>
      </w:r>
      <w:r>
        <w:rPr>
          <w:color w:val="000000"/>
          <w:spacing w:val="-5"/>
          <w:szCs w:val="28"/>
          <w:lang w:eastAsia="zh-CN"/>
        </w:rPr>
        <w:t>»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</w:t>
            </w:r>
            <w:bookmarkStart w:id="27" w:name="_bookmark7_Копия_1_Копия_1_Копия_1"/>
            <w:bookmarkEnd w:id="27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</w:t>
            </w:r>
            <w:r>
              <w:rPr>
                <w:rFonts w:eastAsia="PT Astra Serif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Обеспечить выполнение полномочий управления социальной защиты населения администрации Анжеро-Судженского городского округа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4.1.1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освоенных средств в общем объеме средств, предусмотренных на реализацию полномочий управления, как исполнительного органа государственной власти отраслевой компетенции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«КПМ»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lang w:eastAsia="zh-CN"/>
        </w:rPr>
        <w:t>3. План достижения показателей комплекса процессных мероприятий в 2026 году</w:t>
      </w:r>
    </w:p>
    <w:tbl>
      <w:tblPr>
        <w:tblStyle w:val="TableNormal"/>
        <w:tblW w:w="15160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47"/>
        <w:gridCol w:w="2856"/>
        <w:gridCol w:w="1035"/>
        <w:gridCol w:w="1178"/>
        <w:gridCol w:w="790"/>
        <w:gridCol w:w="776"/>
        <w:gridCol w:w="517"/>
        <w:gridCol w:w="649"/>
        <w:gridCol w:w="517"/>
        <w:gridCol w:w="590"/>
        <w:gridCol w:w="508"/>
        <w:gridCol w:w="611"/>
        <w:gridCol w:w="779"/>
        <w:gridCol w:w="779"/>
        <w:gridCol w:w="649"/>
        <w:gridCol w:w="2275"/>
      </w:tblGrid>
      <w:tr>
        <w:trPr>
          <w:trHeight w:val="349" w:hRule="atLeast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rHeight w:val="661" w:hRule="atLeast"/>
        </w:trPr>
        <w:tc>
          <w:tcPr>
            <w:tcW w:w="6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0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выполнение полномочий управления социальной защиты населения администрации Анжеро-Судженского городского округа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освоенных средств в общем объеме средств, предусмотренных на реализацию полномочий управления, как исполнительного органа государственной власти отраслевой компетенции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ru-RU" w:bidi="ru-RU"/>
              </w:rPr>
              <w:t>«КПМ»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65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70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sz w:val="24"/>
          <w:lang w:eastAsia="zh-CN"/>
        </w:rPr>
        <w:t>4. Перечень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(результатов)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3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43"/>
        <w:gridCol w:w="3420"/>
        <w:gridCol w:w="1200"/>
        <w:gridCol w:w="2714"/>
        <w:gridCol w:w="1575"/>
        <w:gridCol w:w="764"/>
        <w:gridCol w:w="795"/>
        <w:gridCol w:w="676"/>
        <w:gridCol w:w="1003"/>
        <w:gridCol w:w="873"/>
        <w:gridCol w:w="737"/>
        <w:gridCol w:w="737"/>
      </w:tblGrid>
      <w:tr>
        <w:trPr>
          <w:trHeight w:val="404" w:hRule="atLeast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6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1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выполнение полномочий управления социальной защиты населения администрации Анжеро-Судженского городского округа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373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4.1.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Обеспечена деятельность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управления социальной защиты населения как исполнительного органа государственной власти отраслевой компетенции»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Осуществление текущей деятельности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Обеспечена деятельность Управления социальной защиты населения: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расходы на выплаты персоналу государственных органов власти, уплата налогов, сборов и иных платежей, иные закупки для государственных нужд)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98</w:t>
            </w:r>
          </w:p>
        </w:tc>
      </w:tr>
    </w:tbl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«Совершенствование системы управления 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информационного обеспечения в сфере социальной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поддержки и социального обслуживания населения»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выполнение полномочий управления социальной защиты населения администрации Анжеро-Судженского городского округа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b/>
                <w:bCs/>
                <w:iCs/>
                <w:color w:val="000000"/>
                <w:kern w:val="2"/>
                <w:sz w:val="20"/>
                <w:szCs w:val="20"/>
                <w:lang w:val="ru-RU" w:eastAsia="zh-CN" w:bidi="ru-RU"/>
              </w:rPr>
              <w:t>Реализация полномочий управления социальной защиты населения как исполнительного органа государственной власти отраслевой компетенции</w:t>
            </w:r>
            <w:r>
              <w:rPr>
                <w:rFonts w:eastAsia="Source Han Sans CN Regular" w:cs="PT Astra Serif"/>
                <w:b/>
                <w:bCs/>
                <w:iCs/>
                <w:kern w:val="2"/>
                <w:sz w:val="20"/>
                <w:szCs w:val="20"/>
                <w:lang w:val="ru-RU" w:eastAsia="zh-CN" w:bidi="ru-RU"/>
              </w:rPr>
              <w:t>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46 958,8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46 512,0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446,8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/>
      </w:pPr>
      <w:r>
        <w:rPr/>
      </w:r>
    </w:p>
    <w:p>
      <w:pPr>
        <w:pStyle w:val="Normal"/>
        <w:rPr/>
      </w:pPr>
      <w:r>
        <w:rPr>
          <w:sz w:val="24"/>
        </w:rPr>
        <w:t>6. План реализации комплекса процессных мероприятий</w:t>
      </w:r>
    </w:p>
    <w:tbl>
      <w:tblPr>
        <w:tblStyle w:val="TableNormal"/>
        <w:tblW w:w="1521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40"/>
        <w:gridCol w:w="2594"/>
        <w:gridCol w:w="3201"/>
        <w:gridCol w:w="4678"/>
      </w:tblGrid>
      <w:tr>
        <w:trPr>
          <w:trHeight w:val="1053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Задача,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Дата наступления контрольной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исполнитель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(Ф.И.О., должность, наименование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организации (участник муниципальной 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Вид подтверждающего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7</w:t>
            </w:r>
          </w:p>
        </w:tc>
      </w:tr>
      <w:tr>
        <w:trPr>
          <w:trHeight w:val="421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выполнение полномочий управления социальной защиты населения администрации Анжеро-Судженского городского округа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»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4.1. «</w:t>
            </w:r>
            <w:r>
              <w:rPr>
                <w:rFonts w:eastAsia="Source Han Sans CN Regular" w:cs="Lohit Devanagari"/>
                <w:color w:val="000000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Обеспечена деятельность </w:t>
            </w:r>
            <w:r>
              <w:rPr>
                <w:rFonts w:eastAsia="Source Han Sans CN Regular" w:cs="PT Astra Serif"/>
                <w:color w:val="000000"/>
                <w:spacing w:val="-6"/>
                <w:kern w:val="2"/>
                <w:sz w:val="20"/>
                <w:szCs w:val="20"/>
                <w:lang w:val="ru-RU" w:eastAsia="zh-CN" w:bidi="ru-RU"/>
              </w:rPr>
              <w:t>управления социальной защиты населения как исполнительного органа государственной власти отраслевой компетенции»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4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.1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</w:tbl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br w:type="page"/>
      </w:r>
      <w:r>
        <w:rPr>
          <w:rFonts w:cs="Times New Roman" w:ascii="PT Astra Serif" w:hAnsi="PT Astra Serif"/>
          <w:color w:val="000000"/>
        </w:rPr>
        <w:t>Приложение № 7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/>
      </w:pPr>
      <w:r>
        <w:rPr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>комплекса</w:t>
      </w:r>
      <w:r>
        <w:rPr>
          <w:spacing w:val="-4"/>
          <w:szCs w:val="28"/>
        </w:rPr>
        <w:t xml:space="preserve"> </w:t>
      </w:r>
      <w:r>
        <w:rPr>
          <w:szCs w:val="28"/>
        </w:rPr>
        <w:t>процессных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мероприятий</w:t>
      </w:r>
    </w:p>
    <w:p>
      <w:pPr>
        <w:pStyle w:val="Normal"/>
        <w:rPr>
          <w:szCs w:val="28"/>
        </w:rPr>
      </w:pPr>
      <w:r>
        <w:rPr>
          <w:color w:val="000000"/>
          <w:spacing w:val="-5"/>
          <w:szCs w:val="28"/>
          <w:lang w:eastAsia="zh-CN"/>
        </w:rPr>
        <w:t>5. «</w:t>
      </w:r>
      <w:r>
        <w:rPr>
          <w:color w:val="000000"/>
          <w:spacing w:val="-3"/>
          <w:szCs w:val="28"/>
          <w:lang w:eastAsia="zh-CN"/>
        </w:rPr>
        <w:t>Повышение качества и доступности социальных услуг»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</w:t>
            </w:r>
            <w:bookmarkStart w:id="28" w:name="_bookmark7_Копия_1_Копия_1_Копия_1_Копия"/>
            <w:bookmarkEnd w:id="28"/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5.1.1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Доля освоенных средств в общем объеме средств, предусмотренных на обеспечение  содержания муниципальных учреждений социального обслуживания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«КПМ»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99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99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99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99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99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99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  <w:tr>
        <w:trPr>
          <w:trHeight w:val="405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 «Разработка и реализация программы системной поддержки и повышения качества жизни граждан старшего поколения»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5.2.1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Доля освоенных средств в общем объеме средств, предусмотренных на реализацию данного мероприятия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100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100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100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100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100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shd w:fill="FFFFFF" w:val="clear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100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  <w:tr>
        <w:trPr>
          <w:trHeight w:val="330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3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ru-RU" w:bidi="ru-RU"/>
              </w:rPr>
              <w:t>Задача «</w:t>
            </w: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Поддержка граждан пожилого возраста и инвалидов» Таблица №3 Программы пункт 5.3.1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3.1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  <w:lang w:eastAsia="zh-CN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Доля пожилых граждан и инвалидов, получающих долговременный уход, от общего числа нуждающихся в таком уходе граждан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spacing w:val="-2"/>
                <w:sz w:val="20"/>
                <w:szCs w:val="20"/>
              </w:rPr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«НП»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PT Astra Serif"/>
                <w:sz w:val="20"/>
                <w:szCs w:val="20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lang w:val="ru-RU" w:eastAsia="ru-RU" w:bidi="ru-RU"/>
              </w:rPr>
              <w:t>100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</w:tbl>
    <w:p>
      <w:pPr>
        <w:pStyle w:val="Normal"/>
        <w:jc w:val="both"/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lang w:eastAsia="zh-CN"/>
        </w:rPr>
        <w:t>3. План достижения показателей комплекса процессных мероприятий в 2026  году</w:t>
      </w:r>
    </w:p>
    <w:tbl>
      <w:tblPr>
        <w:tblStyle w:val="TableNormal"/>
        <w:tblW w:w="15160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47"/>
        <w:gridCol w:w="2856"/>
        <w:gridCol w:w="1035"/>
        <w:gridCol w:w="1178"/>
        <w:gridCol w:w="790"/>
        <w:gridCol w:w="776"/>
        <w:gridCol w:w="517"/>
        <w:gridCol w:w="649"/>
        <w:gridCol w:w="517"/>
        <w:gridCol w:w="590"/>
        <w:gridCol w:w="508"/>
        <w:gridCol w:w="611"/>
        <w:gridCol w:w="779"/>
        <w:gridCol w:w="779"/>
        <w:gridCol w:w="649"/>
        <w:gridCol w:w="2275"/>
      </w:tblGrid>
      <w:tr>
        <w:trPr>
          <w:tblHeader w:val="true"/>
          <w:trHeight w:val="349" w:hRule="atLeast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blHeader w:val="true"/>
          <w:trHeight w:val="661" w:hRule="atLeast"/>
        </w:trPr>
        <w:tc>
          <w:tcPr>
            <w:tcW w:w="6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0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освоенных средств в общем объеме средств, предусмотренных на обеспечение  содержания муниципальных учреждений социального обслуживания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«КПМ»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70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75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</w:t>
            </w:r>
          </w:p>
        </w:tc>
        <w:tc>
          <w:tcPr>
            <w:tcW w:w="1450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FF0000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lang w:val="ru-RU" w:eastAsia="zh-CN" w:bidi="ru-RU"/>
              </w:rPr>
              <w:t>Задача «Разработка и реализация программы системной поддержки и повышения качества жизни граждан старшего поколения»</w:t>
            </w:r>
          </w:p>
        </w:tc>
      </w:tr>
      <w:tr>
        <w:trPr>
          <w:trHeight w:val="1548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Доля освоенных средств в общем объёме средств, предусмотренных на реализацию мероприятий по долговременному уходу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«КПМ»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25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30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45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60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65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85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</w:t>
            </w:r>
          </w:p>
        </w:tc>
        <w:tc>
          <w:tcPr>
            <w:tcW w:w="1450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</w:t>
            </w: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Поддержка граждан пожилого возраста и инвалидов»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3.1</w:t>
            </w:r>
          </w:p>
        </w:tc>
        <w:tc>
          <w:tcPr>
            <w:tcW w:w="2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  <w:lang w:eastAsia="zh-CN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Доля пожилых граждан и инвалидов, получающих долговременный уход, от общего числа нуждающихся в таком уходе граждан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«НП»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0"/>
                <w:szCs w:val="20"/>
                <w:lang w:val="en-US" w:eastAsia="zh-CN"/>
              </w:rPr>
            </w:pPr>
            <w:r>
              <w:rPr>
                <w:i/>
                <w:color w:val="000000"/>
                <w:sz w:val="20"/>
                <w:szCs w:val="20"/>
                <w:lang w:val="en-US"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100</w:t>
            </w:r>
          </w:p>
        </w:tc>
        <w:tc>
          <w:tcPr>
            <w:tcW w:w="2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sz w:val="24"/>
          <w:lang w:eastAsia="zh-CN"/>
        </w:rPr>
        <w:t>4. Перечень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(результатов)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53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56"/>
        <w:gridCol w:w="3421"/>
        <w:gridCol w:w="1202"/>
        <w:gridCol w:w="2711"/>
        <w:gridCol w:w="1573"/>
        <w:gridCol w:w="775"/>
        <w:gridCol w:w="784"/>
        <w:gridCol w:w="677"/>
        <w:gridCol w:w="1009"/>
        <w:gridCol w:w="873"/>
        <w:gridCol w:w="735"/>
        <w:gridCol w:w="736"/>
      </w:tblGrid>
      <w:tr>
        <w:trPr>
          <w:trHeight w:val="404" w:hRule="atLeast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6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1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</w:t>
            </w:r>
          </w:p>
        </w:tc>
      </w:tr>
      <w:tr>
        <w:trPr>
          <w:trHeight w:val="373" w:hRule="atLeas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5.1.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Обеспечена деятельность подведомственных учреждений</w:t>
            </w:r>
          </w:p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rPr/>
            </w:pPr>
            <w:r>
              <w:rPr>
                <w:rFonts w:cs="PT Astra Serif" w:ascii="PT Astra Serif" w:hAnsi="PT Astra Serif"/>
                <w:color w:val="000000"/>
                <w:spacing w:val="-6"/>
                <w:lang w:eastAsia="zh-CN"/>
              </w:rPr>
              <w:t>социального обслуживания»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Осуществлен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ие текущей деятельности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Обеспечена деятельность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муниципальных учреждений социального обслуживания: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расходы на выплату персоналу, уплата налогов и иных платежей, иные закупки.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99</w:t>
            </w:r>
          </w:p>
        </w:tc>
      </w:tr>
      <w:tr>
        <w:trPr>
          <w:trHeight w:val="373" w:hRule="atLeast"/>
        </w:trPr>
        <w:tc>
          <w:tcPr>
            <w:tcW w:w="15152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Задача «Разработка и реализация программы системной поддержки и повышения качества жизни граждан старшего поколения»</w:t>
            </w:r>
          </w:p>
        </w:tc>
      </w:tr>
      <w:tr>
        <w:trPr>
          <w:trHeight w:val="405" w:hRule="atLeas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5.2.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Граждане пожилого возраста и инвалиды,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находящиеся в трудной жизненной ситуации в постоянном постороннем уходе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 получили услуги»</w:t>
            </w:r>
          </w:p>
          <w:p>
            <w:pPr>
              <w:pStyle w:val="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cs="PT Astra Serif"/>
                <w:sz w:val="20"/>
                <w:szCs w:val="20"/>
                <w:lang w:eastAsia="zh-CN"/>
              </w:rPr>
            </w:pPr>
            <w:r>
              <w:rPr>
                <w:rFonts w:cs="PT Astra Serif"/>
                <w:sz w:val="20"/>
                <w:szCs w:val="20"/>
                <w:lang w:eastAsia="zh-CN"/>
              </w:rPr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Оказание услуг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hd w:val="solid" w:color="FFFFFF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eastAsia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Удовлетворение потребностей граждан пожилого возраста,  инвалидов и других категорий граждан, находящихся в трудной жизненной ситуации и нуждающихся в постоянном постороннем уходе.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  <w:tr>
        <w:trPr>
          <w:trHeight w:val="405" w:hRule="atLeast"/>
        </w:trPr>
        <w:tc>
          <w:tcPr>
            <w:tcW w:w="15152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</w:t>
            </w: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Поддержка граждан пожилого возраста и инвалидов»</w:t>
            </w:r>
          </w:p>
        </w:tc>
      </w:tr>
      <w:tr>
        <w:trPr>
          <w:trHeight w:val="405" w:hRule="atLeast"/>
        </w:trPr>
        <w:tc>
          <w:tcPr>
            <w:tcW w:w="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3</w:t>
            </w:r>
          </w:p>
        </w:tc>
        <w:tc>
          <w:tcPr>
            <w:tcW w:w="3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5.3.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Граждане пожилого возраста и инвалиды получили услуги в рамках системы долговременного ухода»</w:t>
            </w:r>
          </w:p>
          <w:p>
            <w:pPr>
              <w:pStyle w:val="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cs="PT Astra Serif"/>
                <w:spacing w:val="-5"/>
                <w:lang w:eastAsia="zh-CN"/>
              </w:rPr>
            </w:pPr>
            <w:r>
              <w:rPr>
                <w:rFonts w:cs="PT Astra Serif"/>
                <w:spacing w:val="-5"/>
                <w:lang w:eastAsia="zh-CN"/>
              </w:rPr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ind w:hanging="0"/>
              <w:jc w:val="center"/>
              <w:rPr/>
            </w:pPr>
            <w:r>
              <w:rPr>
                <w:rFonts w:cs="PT Astra Serif" w:ascii="PT Astra Serif" w:hAnsi="PT Astra Serif"/>
                <w:color w:val="000000"/>
                <w:spacing w:val="-6"/>
              </w:rPr>
              <w:t>Оказание услуг</w:t>
            </w:r>
          </w:p>
        </w:tc>
        <w:tc>
          <w:tcPr>
            <w:tcW w:w="2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eastAsia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Пожилые граждане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100</w:t>
            </w:r>
          </w:p>
        </w:tc>
      </w:tr>
    </w:tbl>
    <w:p>
      <w:pPr>
        <w:pStyle w:val="Normal"/>
        <w:spacing w:before="0" w:after="0"/>
        <w:contextualSpacing/>
        <w:rPr/>
      </w:pPr>
      <w:r>
        <w:rPr/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«Повышение качества и доступности социальных услуг»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285 452,8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282 577,2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282 577,2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22 768,2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253 584,6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254 631,2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254 631,2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b/>
                <w:bCs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>«Возмещение затрат на содержание муниципальных учреждений социального обслуживания»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276 352,8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273 477,2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273 477,2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22 768,2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253 584,6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254 631,2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254 631,2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PT Astra Serif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kern w:val="2"/>
                <w:sz w:val="20"/>
                <w:szCs w:val="20"/>
                <w:lang w:val="ru-RU" w:eastAsia="zh-CN" w:bidi="ru-RU"/>
              </w:rPr>
              <w:t>Задача «Разработка и реализация программы системной поддержки и повышения качества жизни граждан старшего поколения»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PT Astra Serif"/>
                <w:b/>
                <w:bCs/>
                <w:iCs/>
                <w:color w:val="000000"/>
                <w:spacing w:val="-3"/>
                <w:kern w:val="2"/>
                <w:sz w:val="20"/>
                <w:szCs w:val="20"/>
                <w:lang w:val="ru-RU" w:eastAsia="zh-CN" w:bidi="ru-RU"/>
              </w:rPr>
              <w:t>Организация и осуществление социального обслуживания граждан пожилого возраста, инвалидов и других категорий граждан, находящихся в трудной жизненной ситуации»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9 100,0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Задача «</w:t>
            </w: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Поддержка граждан пожилого возраста и инвалидов»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spacing w:val="-5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b/>
                <w:bCs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>«Система долговременного ухода за гражданами пожилого возраста и инвалидами»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25 582,1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22 706,5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color w:val="000000"/>
                <w:kern w:val="2"/>
                <w:sz w:val="18"/>
                <w:szCs w:val="18"/>
                <w:lang w:val="ru-RU" w:eastAsia="ru-RU" w:bidi="ru-RU"/>
              </w:rPr>
              <w:t>22 706,5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22 768,2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18 846,0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459" w:leader="none"/>
                <w:tab w:val="right" w:pos="918" w:leader="none"/>
              </w:tabs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2 813,9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3 860,5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18"/>
                <w:szCs w:val="18"/>
                <w:lang w:val="ru-RU" w:eastAsia="ru-RU" w:bidi="ru-RU"/>
              </w:rPr>
              <w:t>3 860,5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18"/>
                <w:szCs w:val="18"/>
              </w:rPr>
            </w:pPr>
            <w:r>
              <w:rPr>
                <w:color w:val="C9211E"/>
                <w:sz w:val="18"/>
                <w:szCs w:val="18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/>
      </w:pPr>
      <w:r>
        <w:rPr/>
      </w:r>
    </w:p>
    <w:p>
      <w:pPr>
        <w:pStyle w:val="Normal"/>
        <w:rPr/>
      </w:pPr>
      <w:r>
        <w:rPr>
          <w:sz w:val="24"/>
        </w:rPr>
        <w:t>6. План реализации комплекса процессных мероприятий</w:t>
      </w:r>
    </w:p>
    <w:tbl>
      <w:tblPr>
        <w:tblStyle w:val="TableNormal"/>
        <w:tblW w:w="1521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40"/>
        <w:gridCol w:w="2594"/>
        <w:gridCol w:w="3201"/>
        <w:gridCol w:w="4678"/>
      </w:tblGrid>
      <w:tr>
        <w:trPr>
          <w:trHeight w:val="1053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Задача,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Дата наступления контрольной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исполнитель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(Ф.И.О., должность, наименование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организации (участник муниципальной 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Вид подтверждающего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7</w:t>
            </w:r>
          </w:p>
        </w:tc>
      </w:tr>
      <w:tr>
        <w:trPr>
          <w:trHeight w:val="421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Обеспечить деятельность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5.1.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Обеспечена деятельность подведомственных учреждений </w:t>
            </w:r>
            <w:r>
              <w:rPr>
                <w:rFonts w:eastAsia="Source Han Sans CN Regular" w:cs="PT Astra Serif"/>
                <w:color w:val="000000"/>
                <w:spacing w:val="-5"/>
                <w:kern w:val="2"/>
                <w:sz w:val="20"/>
                <w:szCs w:val="20"/>
                <w:lang w:val="ru-RU" w:eastAsia="zh-CN" w:bidi="ru-RU"/>
              </w:rPr>
              <w:t>социального обслуживания»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</w:tr>
      <w:tr>
        <w:trPr>
          <w:trHeight w:val="472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5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.1 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  <w:tr>
        <w:trPr>
          <w:trHeight w:val="298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Задача «Разработка и реализация программы системной поддержки и повышения качества жизни граждан старшего поколения»</w:t>
            </w:r>
          </w:p>
        </w:tc>
      </w:tr>
      <w:tr>
        <w:trPr>
          <w:trHeight w:val="414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5.2.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Граждане пожилого возраста и инвалиды, </w:t>
            </w: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находящиеся в трудной жизненной ситуации в постоянном постороннем уходе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 xml:space="preserve"> получили услуги»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4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3240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5.2 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  <w:tr>
        <w:trPr>
          <w:trHeight w:val="299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Задача «</w:t>
            </w: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Поддержка граждан пожилого возраста и инвалидов»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5.3.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Граждане пожилого возраста и инвалиды получили услуги в рамках системы долговременного ухода»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5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.3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</w:tbl>
    <w:p>
      <w:pPr>
        <w:sectPr>
          <w:headerReference w:type="default" r:id="rId19"/>
          <w:headerReference w:type="first" r:id="rId20"/>
          <w:footerReference w:type="default" r:id="rId21"/>
          <w:footerReference w:type="first" r:id="rId22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rPr>
          <w:rFonts w:cs="Times New Roman" w:ascii="PT Astra Serif" w:hAnsi="PT Astra Serif"/>
          <w:color w:val="000000"/>
        </w:rPr>
        <w:t>Приложение № 8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/>
      </w:pPr>
      <w:r>
        <w:rPr>
          <w:color w:val="000000"/>
          <w:szCs w:val="28"/>
        </w:rPr>
        <w:t>ПАСПОРТ</w:t>
      </w:r>
    </w:p>
    <w:p>
      <w:pPr>
        <w:pStyle w:val="Normal"/>
        <w:rPr>
          <w:color w:val="000000"/>
        </w:rPr>
      </w:pPr>
      <w:r>
        <w:rPr>
          <w:color w:val="000000"/>
          <w:szCs w:val="28"/>
        </w:rPr>
        <w:t>комплекса</w:t>
      </w:r>
      <w:r>
        <w:rPr>
          <w:color w:val="000000"/>
          <w:spacing w:val="-4"/>
          <w:szCs w:val="28"/>
        </w:rPr>
        <w:t xml:space="preserve"> </w:t>
      </w:r>
      <w:r>
        <w:rPr>
          <w:color w:val="000000"/>
          <w:szCs w:val="28"/>
        </w:rPr>
        <w:t>процессных</w:t>
      </w:r>
      <w:r>
        <w:rPr>
          <w:color w:val="000000"/>
          <w:spacing w:val="-4"/>
          <w:szCs w:val="28"/>
        </w:rPr>
        <w:t xml:space="preserve"> </w:t>
      </w:r>
      <w:r>
        <w:rPr>
          <w:color w:val="000000"/>
          <w:szCs w:val="28"/>
        </w:rPr>
        <w:t>мероприятий</w:t>
      </w:r>
    </w:p>
    <w:p>
      <w:pPr>
        <w:pStyle w:val="Normal"/>
        <w:rPr>
          <w:color w:val="000000"/>
          <w:szCs w:val="28"/>
        </w:rPr>
      </w:pPr>
      <w:r>
        <w:rPr>
          <w:color w:val="000000"/>
          <w:spacing w:val="-5"/>
          <w:szCs w:val="28"/>
          <w:lang w:eastAsia="zh-CN"/>
        </w:rPr>
        <w:t>6. «Развитие мер социальной поддержки отдельных категорий граждан»</w:t>
      </w:r>
    </w:p>
    <w:p>
      <w:pPr>
        <w:pStyle w:val="Normal"/>
        <w:rPr>
          <w:color w:val="FF0000"/>
          <w:szCs w:val="28"/>
        </w:rPr>
      </w:pPr>
      <w:r>
        <w:rPr>
          <w:color w:val="FF0000"/>
          <w:szCs w:val="28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/>
            </w:pPr>
            <w:r>
              <w:rPr>
                <w:rFonts w:cs="PT Astra Serif" w:ascii="PT Astra Serif" w:hAnsi="PT Astra Serif"/>
                <w:color w:val="000000"/>
              </w:rPr>
              <w:t>Задача «Повысить уровень жизни отдельных категорий граждан за счет предоставления им мер социальной поддержки»</w:t>
            </w:r>
          </w:p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shd w:fill="FFFFFF" w:val="clear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  <w:shd w:fill="FFFFFF" w:val="clear"/>
              </w:rPr>
              <w:t>Таблица №3 Программы пункт 6.1.1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left" w:pos="2144" w:leader="none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Количество многодетных семей, воспользовавшихся региональными мерами социальной поддержки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«КПМ»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Чел.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1050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  <w:tr>
        <w:trPr>
          <w:trHeight w:val="345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1458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kern w:val="2"/>
                <w:lang w:val="ru-RU" w:bidi="ru-RU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 xml:space="preserve">Задача «Увеличение количества многодетных семей» </w:t>
            </w: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Таблица №3 Программы пункт 6.1.2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kern w:val="2"/>
                <w:lang w:val="ru-RU" w:eastAsia="ru-RU" w:bidi="ru-RU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возрастание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«НП»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13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3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rPr>
          <w:sz w:val="20"/>
          <w:szCs w:val="20"/>
          <w:vertAlign w:val="superscript"/>
          <w:lang w:eastAsia="zh-CN"/>
        </w:rPr>
      </w:pPr>
      <w:r>
        <w:rPr>
          <w:sz w:val="20"/>
          <w:szCs w:val="20"/>
          <w:vertAlign w:val="superscript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lang w:eastAsia="zh-CN"/>
        </w:rPr>
        <w:t>3. План достижения показателей комплекса процессных мероприятий в 2026 году</w:t>
      </w:r>
    </w:p>
    <w:tbl>
      <w:tblPr>
        <w:tblStyle w:val="TableNormal"/>
        <w:tblW w:w="15159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44"/>
        <w:gridCol w:w="2857"/>
        <w:gridCol w:w="1034"/>
        <w:gridCol w:w="1173"/>
        <w:gridCol w:w="798"/>
        <w:gridCol w:w="776"/>
        <w:gridCol w:w="517"/>
        <w:gridCol w:w="649"/>
        <w:gridCol w:w="520"/>
        <w:gridCol w:w="585"/>
        <w:gridCol w:w="506"/>
        <w:gridCol w:w="614"/>
        <w:gridCol w:w="779"/>
        <w:gridCol w:w="779"/>
        <w:gridCol w:w="649"/>
        <w:gridCol w:w="2275"/>
      </w:tblGrid>
      <w:tr>
        <w:trPr>
          <w:trHeight w:val="349" w:hRule="atLeast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rHeight w:val="661" w:hRule="atLeast"/>
        </w:trPr>
        <w:tc>
          <w:tcPr>
            <w:tcW w:w="6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«Повысить уровень жизни отдельных категорий граждан за счет предоставления им мер социальной поддержки»</w:t>
            </w:r>
          </w:p>
        </w:tc>
      </w:tr>
      <w:tr>
        <w:trPr>
          <w:trHeight w:val="38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Количество многодетных семей, воспользовавшихся региональными мерами социальной поддержки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1054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1058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1059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1060</w:t>
            </w:r>
          </w:p>
        </w:tc>
      </w:tr>
      <w:tr>
        <w:trPr>
          <w:trHeight w:val="386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</w:t>
            </w:r>
          </w:p>
        </w:tc>
        <w:tc>
          <w:tcPr>
            <w:tcW w:w="145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ru-RU" w:bidi="ru-RU"/>
              </w:rPr>
              <w:t>Задача «Увеличение количества многодетных семей»</w:t>
            </w:r>
          </w:p>
        </w:tc>
      </w:tr>
      <w:tr>
        <w:trPr>
          <w:trHeight w:val="38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2.1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«НП»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>
          <w:sz w:val="24"/>
          <w:lang w:eastAsia="zh-CN"/>
        </w:rPr>
      </w:pPr>
      <w:r>
        <w:rPr>
          <w:sz w:val="24"/>
          <w:lang w:eastAsia="zh-CN"/>
        </w:rPr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sz w:val="24"/>
          <w:lang w:eastAsia="zh-CN"/>
        </w:rPr>
        <w:t>4. Перечень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(результатов)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53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56"/>
        <w:gridCol w:w="3421"/>
        <w:gridCol w:w="1202"/>
        <w:gridCol w:w="2711"/>
        <w:gridCol w:w="1573"/>
        <w:gridCol w:w="775"/>
        <w:gridCol w:w="785"/>
        <w:gridCol w:w="676"/>
        <w:gridCol w:w="1006"/>
        <w:gridCol w:w="876"/>
        <w:gridCol w:w="735"/>
        <w:gridCol w:w="736"/>
      </w:tblGrid>
      <w:tr>
        <w:trPr>
          <w:trHeight w:val="404" w:hRule="atLeast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6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1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«Повысить уровень жизни отдельных категорий граждан за счет предоставления им мер социальной поддержки»</w:t>
            </w:r>
          </w:p>
        </w:tc>
      </w:tr>
      <w:tr>
        <w:trPr>
          <w:trHeight w:val="373" w:hRule="atLeas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6.1.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Обеспечена социальная поддержка многодетных семей»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pacing w:val="-1"/>
                <w:lang w:eastAsia="zh-CN"/>
              </w:rPr>
            </w:pPr>
            <w:r>
              <w:rPr>
                <w:b/>
                <w:bCs/>
                <w:spacing w:val="-1"/>
                <w:lang w:eastAsia="zh-CN"/>
              </w:rPr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Выплаты физическим лицам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Многодетные семьи получили меры социальной поддержки в соответствии: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с </w:t>
            </w:r>
            <w:hyperlink r:id="rId23">
              <w:r>
                <w:rPr>
                  <w:rFonts w:eastAsia="Source Han Sans CN Regular" w:cs="Lohit Devanagari"/>
                  <w:color w:val="000000"/>
                  <w:kern w:val="2"/>
                  <w:sz w:val="20"/>
                  <w:szCs w:val="20"/>
                  <w:lang w:val="ru-RU" w:eastAsia="ru-RU" w:bidi="ru-RU"/>
                </w:rPr>
                <w:t>Законом</w:t>
              </w:r>
            </w:hyperlink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 Кемеровской области от 14 ноября 2005 г. N 123-ОЗ "О мерах социальной поддержки многодетных семей в Кемеровской области";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с </w:t>
            </w:r>
            <w:hyperlink r:id="rId24">
              <w:r>
                <w:rPr>
                  <w:rFonts w:eastAsia="Source Han Sans CN Regular" w:cs="Lohit Devanagari"/>
                  <w:color w:val="000000"/>
                  <w:kern w:val="2"/>
                  <w:sz w:val="20"/>
                  <w:szCs w:val="20"/>
                  <w:lang w:val="ru-RU" w:eastAsia="ru-RU" w:bidi="ru-RU"/>
                </w:rPr>
                <w:t>Законом</w:t>
              </w:r>
            </w:hyperlink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 Кемеровской области от 25 апреля 2011 г. N 51-ОЗ "О дополнительных мерах социальной поддержки семей, имеющих детей";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с </w:t>
            </w:r>
            <w:hyperlink r:id="rId25">
              <w:r>
                <w:rPr>
                  <w:rFonts w:eastAsia="Source Han Sans CN Regular" w:cs="Lohit Devanagari"/>
                  <w:color w:val="000000"/>
                  <w:kern w:val="2"/>
                  <w:sz w:val="20"/>
                  <w:szCs w:val="20"/>
                  <w:lang w:val="ru-RU" w:eastAsia="ru-RU" w:bidi="ru-RU"/>
                </w:rPr>
                <w:t>Законом</w:t>
              </w:r>
            </w:hyperlink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 xml:space="preserve"> Кемеровской области от 9 июля 2012 г. N 73-ОЗ "О ежемесячной денежной выплате отдельным категориям семей в случае рождения (усыновления (удочерения) третьего ребенка или последующих детей"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Чел.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1050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1060</w:t>
            </w:r>
          </w:p>
        </w:tc>
      </w:tr>
      <w:tr>
        <w:trPr>
          <w:trHeight w:val="373" w:hRule="atLeast"/>
        </w:trPr>
        <w:tc>
          <w:tcPr>
            <w:tcW w:w="15152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kern w:val="2"/>
                <w:lang w:val="ru-RU" w:bidi="ru-RU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Задача «Увеличение количества многодетных семей»</w:t>
            </w:r>
          </w:p>
        </w:tc>
      </w:tr>
      <w:tr>
        <w:trPr>
          <w:trHeight w:val="405" w:hRule="atLeas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6.2.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Выплаты физическим лицам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4"/>
                <w:lang w:val="ru-RU" w:eastAsia="ru-RU" w:bidi="ru-RU"/>
              </w:rPr>
              <w:t>Граждане получили социальную помощь на основании социального контракта по мероприятиям: поиск работы; осуществление индивидуальной предпринимательской деятельности; ведение личного подсобного хозяйства; осуществление иных мероприятий, направленных на преодоление трудной жизненной ситуации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15</w:t>
            </w:r>
          </w:p>
        </w:tc>
      </w:tr>
    </w:tbl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</w:rPr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color w:val="000000"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«Развитие мер социальной поддержки отдельных категорий граждан»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</w:rPr>
              <w:t>Задача «Повысить уровень жизни отдельных категорий граждан за счет предоставления им мер социальной поддержки»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b/>
                <w:bCs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>Меры социальной поддержки отдельных категорий граждан»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13 094,0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361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shd w:fill="FFFFFF" w:val="clear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Задача «Увеличение количества многодетных семей»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b/>
                <w:bCs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>Меры социальной поддержки отдельных категорий граждан»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18"/>
                <w:szCs w:val="18"/>
                <w:lang w:val="ru-RU" w:eastAsia="ru-RU" w:bidi="ru-RU"/>
              </w:rPr>
              <w:t>0,0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spacing w:val="-5"/>
                <w:sz w:val="20"/>
                <w:szCs w:val="20"/>
                <w:lang w:eastAsia="zh-CN"/>
              </w:rPr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C9211E"/>
                <w:sz w:val="20"/>
                <w:szCs w:val="20"/>
                <w:lang w:eastAsia="zh-CN"/>
              </w:rPr>
            </w:pPr>
            <w:r>
              <w:rPr>
                <w:color w:val="C9211E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>
          <w:sz w:val="24"/>
        </w:rPr>
        <w:t>6. План реализации комплекса процессных мероприятий</w:t>
      </w:r>
    </w:p>
    <w:tbl>
      <w:tblPr>
        <w:tblStyle w:val="TableNormal"/>
        <w:tblW w:w="1521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40"/>
        <w:gridCol w:w="2594"/>
        <w:gridCol w:w="3201"/>
        <w:gridCol w:w="4678"/>
      </w:tblGrid>
      <w:tr>
        <w:trPr>
          <w:trHeight w:val="1053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Задача,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Дата наступления контрольной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исполнитель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(Ф.И.О., должность, наименование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организации (участник муниципальной 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Вид подтверждающего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7</w:t>
            </w:r>
          </w:p>
        </w:tc>
      </w:tr>
      <w:tr>
        <w:trPr>
          <w:trHeight w:val="421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«Повысить уровень жизни отдельных категорий граждан за счет предоставления им мер социальной поддержки»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Source Han Sans CN Regular"/>
                <w:kern w:val="2"/>
                <w:lang w:val="ru-RU" w:bidi="ru-RU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6.1.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Обеспечена социальная поддержка многодетных семей»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6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.1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  <w:tr>
        <w:trPr>
          <w:trHeight w:val="414" w:hRule="atLeast"/>
        </w:trPr>
        <w:tc>
          <w:tcPr>
            <w:tcW w:w="15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jc w:val="left"/>
              <w:rPr>
                <w:rFonts w:eastAsia="Times New Roman" w:cs="PT Astra Serif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Times New Roman" w:cs="PT Astra Serif"/>
                <w:color w:val="000000"/>
                <w:spacing w:val="-2"/>
                <w:kern w:val="2"/>
                <w:sz w:val="20"/>
                <w:szCs w:val="20"/>
                <w:lang w:val="ru-RU" w:eastAsia="zh-CN" w:bidi="ru-RU"/>
              </w:rPr>
              <w:t>Задача «Увеличение количества многодетных семей»</w:t>
            </w:r>
          </w:p>
        </w:tc>
      </w:tr>
      <w:tr>
        <w:trPr>
          <w:trHeight w:val="299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6.2.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граждан»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6.2    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</w:tbl>
    <w:p>
      <w:pPr>
        <w:pStyle w:val="ConsPlus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ascii="PT Astra Serif" w:hAnsi="PT Astra Serif" w:cs="Times New Roman"/>
          <w:color w:val="000000"/>
        </w:rPr>
      </w:pPr>
      <w:r>
        <w:br w:type="page"/>
      </w:r>
      <w:r>
        <w:rPr>
          <w:rFonts w:cs="Times New Roman" w:ascii="PT Astra Serif" w:hAnsi="PT Astra Serif"/>
          <w:color w:val="000000"/>
        </w:rPr>
        <w:t>Приложение № 9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rmal"/>
        <w:rPr>
          <w:color w:val="000000"/>
        </w:rPr>
      </w:pPr>
      <w:r>
        <w:rPr>
          <w:color w:val="000000"/>
          <w:szCs w:val="28"/>
        </w:rPr>
        <w:t>ПАСПОРТ</w:t>
      </w:r>
    </w:p>
    <w:p>
      <w:pPr>
        <w:pStyle w:val="Normal"/>
        <w:rPr/>
      </w:pPr>
      <w:r>
        <w:rPr>
          <w:szCs w:val="28"/>
        </w:rPr>
        <w:t>комплекса</w:t>
      </w:r>
      <w:r>
        <w:rPr>
          <w:spacing w:val="-4"/>
          <w:szCs w:val="28"/>
        </w:rPr>
        <w:t xml:space="preserve"> </w:t>
      </w:r>
      <w:r>
        <w:rPr>
          <w:szCs w:val="28"/>
        </w:rPr>
        <w:t>процессных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мероприятий</w:t>
      </w:r>
    </w:p>
    <w:p>
      <w:pPr>
        <w:pStyle w:val="Normal"/>
        <w:rPr>
          <w:szCs w:val="28"/>
        </w:rPr>
      </w:pPr>
      <w:r>
        <w:rPr>
          <w:color w:val="000000"/>
          <w:spacing w:val="-5"/>
          <w:szCs w:val="28"/>
          <w:lang w:eastAsia="zh-CN"/>
        </w:rPr>
        <w:t>7. «Здоровье горожан»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1. Общие положения</w:t>
      </w:r>
    </w:p>
    <w:tbl>
      <w:tblPr>
        <w:tblStyle w:val="TableNormal"/>
        <w:tblW w:w="1512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7426"/>
        <w:gridCol w:w="7701"/>
      </w:tblGrid>
      <w:tr>
        <w:trPr>
          <w:trHeight w:val="494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</w:t>
            </w:r>
            <w:r>
              <w:rPr>
                <w:rFonts w:eastAsia="Source Han Sans CN Regular" w:cs="Lohit Devanagari"/>
                <w:spacing w:val="14"/>
                <w:kern w:val="2"/>
                <w:sz w:val="20"/>
                <w:szCs w:val="20"/>
                <w:lang w:val="ru-RU" w:eastAsia="zh-CN" w:bidi="ru-RU"/>
              </w:rPr>
              <w:t xml:space="preserve"> исполнитель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(соисполнитель муниципальной программы)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2"/>
                <w:lang w:val="ru-RU" w:eastAsia="ru-RU" w:bidi="ru-RU"/>
              </w:rPr>
            </w:pPr>
            <w:r>
              <w:rPr>
                <w:rFonts w:eastAsia="PT Astra Serif" w:cs="PT Astra Serif"/>
                <w:kern w:val="2"/>
                <w:szCs w:val="24"/>
                <w:lang w:val="ru-RU" w:eastAsia="ru-RU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Управления социальной защиты населения администрации Анжеро-Судженкого городского округа (Кондрицкий Александр Владимирович начальник управления)</w:t>
            </w:r>
          </w:p>
        </w:tc>
      </w:tr>
      <w:tr>
        <w:trPr>
          <w:trHeight w:val="292" w:hRule="atLeast"/>
        </w:trPr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Связь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муниципальной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программой</w:t>
            </w:r>
          </w:p>
        </w:tc>
        <w:tc>
          <w:tcPr>
            <w:tcW w:w="7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Муниципальная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программа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«Социальная поддержка населения Анжеро-Судженского городского округа»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spacing w:before="0" w:after="0"/>
        <w:contextualSpacing/>
        <w:jc w:val="both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  <w:lang w:eastAsia="zh-CN"/>
        </w:rPr>
        <w:t>2. Показатели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 процессных</w:t>
      </w:r>
      <w:r>
        <w:rPr>
          <w:spacing w:val="-3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17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535"/>
        <w:gridCol w:w="2527"/>
        <w:gridCol w:w="1098"/>
        <w:gridCol w:w="1245"/>
        <w:gridCol w:w="956"/>
        <w:gridCol w:w="892"/>
        <w:gridCol w:w="805"/>
        <w:gridCol w:w="703"/>
        <w:gridCol w:w="694"/>
        <w:gridCol w:w="6"/>
        <w:gridCol w:w="690"/>
        <w:gridCol w:w="734"/>
        <w:gridCol w:w="924"/>
        <w:gridCol w:w="3307"/>
      </w:tblGrid>
      <w:tr>
        <w:trPr>
          <w:trHeight w:val="264" w:hRule="atLeast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№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показателя/задачи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Признак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возрастания/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убывания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 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9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показателей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за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достижение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показателя (участник муниципальной программы)</w:t>
            </w:r>
          </w:p>
        </w:tc>
      </w:tr>
      <w:tr>
        <w:trPr>
          <w:trHeight w:val="573" w:hRule="atLeast"/>
        </w:trPr>
        <w:tc>
          <w:tcPr>
            <w:tcW w:w="5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  <w:tc>
          <w:tcPr>
            <w:tcW w:w="3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53" w:hRule="atLeast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14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«Обеспечить систему здравоохранения высококвалифицированными кадрами»</w:t>
            </w:r>
            <w:r>
              <w:rPr>
                <w:rFonts w:cs="PT Astra Serif" w:ascii="PT Astra Serif" w:hAnsi="PT Astra Serif"/>
                <w:color w:val="000000"/>
                <w:sz w:val="20"/>
                <w:szCs w:val="20"/>
                <w:shd w:fill="FFFFFF" w:val="clear"/>
              </w:rPr>
              <w:t>Таблица №3 Программы пункт 7.1.1</w:t>
            </w:r>
          </w:p>
        </w:tc>
      </w:tr>
      <w:tr>
        <w:trPr>
          <w:trHeight w:val="677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Обеспеченность врачами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Число врачей на 10,0 тыс. населения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rFonts w:cs="PT Astra Serif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Государственное автономное учреждение здравохранения Кемеровской области «Анжеро-Судженская городская больница имени А.А. Гороховского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>
          <w:sz w:val="24"/>
        </w:rPr>
      </w:pPr>
      <w:r>
        <w:rPr>
          <w:sz w:val="24"/>
          <w:lang w:eastAsia="zh-CN"/>
        </w:rPr>
        <w:t>3. План достижения показателей комплекса процессных мероприятий в 2026 году</w:t>
      </w:r>
    </w:p>
    <w:tbl>
      <w:tblPr>
        <w:tblStyle w:val="TableNormal"/>
        <w:tblW w:w="15160" w:type="dxa"/>
        <w:jc w:val="center"/>
        <w:tblInd w:w="0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noVBand="1" w:val="0600" w:noHBand="1" w:lastColumn="0" w:firstColumn="0" w:lastRow="0" w:firstRow="0"/>
      </w:tblPr>
      <w:tblGrid>
        <w:gridCol w:w="647"/>
        <w:gridCol w:w="2856"/>
        <w:gridCol w:w="1035"/>
        <w:gridCol w:w="1178"/>
        <w:gridCol w:w="790"/>
        <w:gridCol w:w="776"/>
        <w:gridCol w:w="517"/>
        <w:gridCol w:w="649"/>
        <w:gridCol w:w="517"/>
        <w:gridCol w:w="590"/>
        <w:gridCol w:w="508"/>
        <w:gridCol w:w="611"/>
        <w:gridCol w:w="779"/>
        <w:gridCol w:w="779"/>
        <w:gridCol w:w="649"/>
        <w:gridCol w:w="2275"/>
      </w:tblGrid>
      <w:tr>
        <w:trPr>
          <w:tblHeader w:val="true"/>
          <w:trHeight w:val="349" w:hRule="atLeast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Показатели комплекса процессных мероприятий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Уровень показателя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 ОКЕИ)</w:t>
            </w:r>
          </w:p>
        </w:tc>
        <w:tc>
          <w:tcPr>
            <w:tcW w:w="71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Плановые значения по месяцам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 конец 2026 года</w:t>
            </w:r>
          </w:p>
        </w:tc>
      </w:tr>
      <w:tr>
        <w:trPr>
          <w:tblHeader w:val="true"/>
          <w:trHeight w:val="661" w:hRule="atLeast"/>
        </w:trPr>
        <w:tc>
          <w:tcPr>
            <w:tcW w:w="6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январь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февраль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март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апрель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май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июнь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июль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август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сентябрь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октябрь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ноябрь</w:t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</w:t>
            </w:r>
          </w:p>
        </w:tc>
        <w:tc>
          <w:tcPr>
            <w:tcW w:w="1450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«Обеспечить систему здравоохранения высококвалифицированными кадрами»</w:t>
            </w:r>
          </w:p>
        </w:tc>
      </w:tr>
      <w:tr>
        <w:trPr>
          <w:trHeight w:val="386" w:hRule="atLeast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1.1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rFonts w:cs="PT Astra Serif"/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Обеспеченность врачами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«ОМСУ»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«КПМ»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Число врачей на 10,0 тыс. населения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bidi="ru-RU"/>
              </w:rPr>
            </w:pPr>
            <w:r>
              <w:rPr>
                <w:rFonts w:eastAsia="Source Han Sans CN Regular" w:cs="Lohit Devanagari"/>
                <w:i/>
                <w:color w:val="000000"/>
                <w:kern w:val="2"/>
                <w:sz w:val="20"/>
                <w:szCs w:val="20"/>
                <w:lang w:val="en-US" w:eastAsia="zh-CN" w:bidi="ru-RU"/>
              </w:rPr>
              <w:t>18,0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</w:tr>
    </w:tbl>
    <w:p>
      <w:pPr>
        <w:pStyle w:val="Normal"/>
        <w:tabs>
          <w:tab w:val="clear" w:pos="709"/>
          <w:tab w:val="left" w:pos="3544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3544" w:leader="none"/>
        </w:tabs>
        <w:rPr/>
      </w:pPr>
      <w:r>
        <w:rPr>
          <w:sz w:val="24"/>
          <w:lang w:eastAsia="zh-CN"/>
        </w:rPr>
        <w:t>4. Перечень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(результатов)</w:t>
      </w:r>
      <w:r>
        <w:rPr>
          <w:spacing w:val="-4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мероприятий</w:t>
      </w:r>
    </w:p>
    <w:tbl>
      <w:tblPr>
        <w:tblStyle w:val="TableNormal"/>
        <w:tblW w:w="1515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659"/>
        <w:gridCol w:w="3418"/>
        <w:gridCol w:w="1202"/>
        <w:gridCol w:w="2711"/>
        <w:gridCol w:w="1573"/>
        <w:gridCol w:w="776"/>
        <w:gridCol w:w="785"/>
        <w:gridCol w:w="676"/>
        <w:gridCol w:w="1009"/>
        <w:gridCol w:w="873"/>
        <w:gridCol w:w="735"/>
        <w:gridCol w:w="736"/>
      </w:tblGrid>
      <w:tr>
        <w:trPr>
          <w:trHeight w:val="404" w:hRule="atLeast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№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п/п</w:t>
            </w:r>
          </w:p>
        </w:tc>
        <w:tc>
          <w:tcPr>
            <w:tcW w:w="3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Тип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</w:p>
        </w:tc>
        <w:tc>
          <w:tcPr>
            <w:tcW w:w="2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Характеристика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Единица измерения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(по</w:t>
            </w:r>
            <w:r>
              <w:rPr>
                <w:rFonts w:eastAsia="Source Han Sans CN Regular" w:cs="Lohit Devanagari"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ОКЕИ)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Базовое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4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</w:p>
        </w:tc>
      </w:tr>
      <w:tr>
        <w:trPr>
          <w:trHeight w:val="260" w:hRule="atLeast"/>
        </w:trPr>
        <w:tc>
          <w:tcPr>
            <w:tcW w:w="6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3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значение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33" w:hRule="atLeast"/>
        </w:trPr>
        <w:tc>
          <w:tcPr>
            <w:tcW w:w="15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«Обеспечить систему здравоохранения высококвалифицированными кадрами»</w:t>
            </w:r>
          </w:p>
        </w:tc>
      </w:tr>
      <w:tr>
        <w:trPr>
          <w:trHeight w:val="373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7.1.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ru-RU" w:bidi="ru-RU"/>
              </w:rPr>
              <w:t>Предоставлены меры стимулирования молодым специалистам здравоохранения в виде пособий (подъемных)»</w:t>
            </w:r>
          </w:p>
          <w:p>
            <w:pPr>
              <w:pStyle w:val="Normal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jc w:val="left"/>
              <w:rPr>
                <w:b/>
                <w:bCs/>
                <w:spacing w:val="-1"/>
                <w:lang w:eastAsia="zh-CN"/>
              </w:rPr>
            </w:pPr>
            <w:r>
              <w:rPr>
                <w:b/>
                <w:bCs/>
                <w:spacing w:val="-1"/>
                <w:lang w:eastAsia="zh-CN"/>
              </w:rPr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Выплаты физическим лицам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211"/>
              <w:widowControl w:val="false"/>
              <w:suppressAutoHyphens w:val="true"/>
              <w:spacing w:lineRule="auto" w:line="240" w:before="0" w:after="0"/>
              <w:ind w:left="0"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ru-RU" w:bidi="ru-RU"/>
              </w:rPr>
              <w:t>Молодые специалисты здравоохранения получили единовременные выплаты пособия (подъемные) в соответствии с Постановлением администрации АСГО от 19.10.2017 № 1879 «О порядке реализации подпрограммы «Здоровье горожан»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Число врачей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18,0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Style39"/>
              <w:widowControl w:val="false"/>
              <w:suppressAutoHyphens w:val="true"/>
              <w:spacing w:before="0" w:after="0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kern w:val="2"/>
                <w:sz w:val="20"/>
                <w:szCs w:val="20"/>
                <w:lang w:val="ru-RU" w:eastAsia="zh-CN" w:bidi="ru-RU"/>
              </w:rPr>
              <w:t>-</w:t>
            </w:r>
          </w:p>
        </w:tc>
      </w:tr>
    </w:tbl>
    <w:p>
      <w:pPr>
        <w:pStyle w:val="Normal"/>
        <w:spacing w:before="0" w:after="0"/>
        <w:contextualSpacing/>
        <w:rPr/>
      </w:pPr>
      <w:r>
        <w:rPr/>
      </w:r>
    </w:p>
    <w:p>
      <w:pPr>
        <w:pStyle w:val="Normal"/>
        <w:spacing w:before="0" w:after="0"/>
        <w:contextualSpacing/>
        <w:rPr>
          <w:sz w:val="24"/>
        </w:rPr>
      </w:pPr>
      <w:r>
        <w:rPr>
          <w:sz w:val="24"/>
          <w:lang w:eastAsia="zh-CN"/>
        </w:rPr>
        <w:t>5. Финансовое</w:t>
      </w:r>
      <w:r>
        <w:rPr>
          <w:spacing w:val="-8"/>
          <w:sz w:val="24"/>
          <w:lang w:eastAsia="zh-CN"/>
        </w:rPr>
        <w:t xml:space="preserve"> </w:t>
      </w:r>
      <w:r>
        <w:rPr>
          <w:sz w:val="24"/>
          <w:lang w:eastAsia="zh-CN"/>
        </w:rPr>
        <w:t>обеспечение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комплекса</w:t>
      </w:r>
      <w:r>
        <w:rPr>
          <w:spacing w:val="-6"/>
          <w:sz w:val="24"/>
          <w:lang w:eastAsia="zh-CN"/>
        </w:rPr>
        <w:t xml:space="preserve"> </w:t>
      </w:r>
      <w:r>
        <w:rPr>
          <w:sz w:val="24"/>
          <w:lang w:eastAsia="zh-CN"/>
        </w:rPr>
        <w:t>процессных</w:t>
      </w:r>
      <w:r>
        <w:rPr>
          <w:spacing w:val="-9"/>
          <w:sz w:val="24"/>
          <w:lang w:eastAsia="zh-CN"/>
        </w:rPr>
        <w:t xml:space="preserve"> </w:t>
      </w:r>
      <w:r>
        <w:rPr>
          <w:sz w:val="24"/>
        </w:rPr>
        <w:t>мероприятий</w:t>
      </w:r>
    </w:p>
    <w:tbl>
      <w:tblPr>
        <w:tblStyle w:val="TableNormal"/>
        <w:tblW w:w="15199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9041"/>
        <w:gridCol w:w="1055"/>
        <w:gridCol w:w="1058"/>
        <w:gridCol w:w="1052"/>
        <w:gridCol w:w="1056"/>
        <w:gridCol w:w="1936"/>
      </w:tblGrid>
      <w:tr>
        <w:trPr>
          <w:trHeight w:val="675" w:hRule="atLeast"/>
        </w:trPr>
        <w:tc>
          <w:tcPr>
            <w:tcW w:w="9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Наименование</w:t>
            </w:r>
            <w:r>
              <w:rPr>
                <w:rFonts w:eastAsia="Source Han Sans CN Regular" w:cs="Lohit Devanagari"/>
                <w:spacing w:val="-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мероприятия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(результата)</w:t>
            </w:r>
            <w:r>
              <w:rPr>
                <w:rFonts w:eastAsia="Source Han Sans CN Regular" w:cs="Lohit Devanagari"/>
                <w:spacing w:val="-8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источник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финансового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обеспечения</w:t>
            </w:r>
          </w:p>
        </w:tc>
        <w:tc>
          <w:tcPr>
            <w:tcW w:w="6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Объем финансового обеспечения 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по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годам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реализации,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             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тыс.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рублей</w:t>
            </w:r>
          </w:p>
        </w:tc>
      </w:tr>
      <w:tr>
        <w:trPr>
          <w:trHeight w:val="455" w:hRule="atLeast"/>
        </w:trPr>
        <w:tc>
          <w:tcPr>
            <w:tcW w:w="9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pPr>
            <w:r>
              <w:rPr>
                <w:rFonts w:eastAsia="Source Han Sans CN Regular" w:cs="Lohit Devanagari"/>
                <w:kern w:val="2"/>
                <w:szCs w:val="24"/>
                <w:lang w:val="ru-RU" w:eastAsia="ru-RU" w:bidi="ru-RU"/>
              </w:rPr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2029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2030</w:t>
            </w:r>
          </w:p>
        </w:tc>
      </w:tr>
      <w:tr>
        <w:trPr>
          <w:trHeight w:val="349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Комплекс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процессных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мероприятий</w:t>
            </w:r>
            <w:r>
              <w:rPr>
                <w:rFonts w:eastAsia="Source Han Sans CN Regular" w:cs="Lohit Devanagari"/>
                <w:b/>
                <w:bCs/>
                <w:iCs/>
                <w:color w:val="000000"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«Здоровье горожан»</w:t>
            </w:r>
            <w:r>
              <w:rPr>
                <w:rFonts w:eastAsia="Source Han Sans CN Regular" w:cs="Lohit Devanagari"/>
                <w:iCs/>
                <w:spacing w:val="-1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(всего),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hd w:fill="FFFFFF" w:val="clear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shd w:fill="FFFFFF" w:val="clear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</w:tr>
      <w:tr>
        <w:trPr>
          <w:trHeight w:val="232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rHeight w:val="35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15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cs="PT Astra Serif" w:ascii="PT Astra Serif" w:hAnsi="PT Astra Serif"/>
                <w:color w:val="000000"/>
                <w:sz w:val="20"/>
                <w:szCs w:val="20"/>
              </w:rPr>
              <w:t>Задача «Обеспечить систему здравоохранения высококвалифицированными кадрами»</w:t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iCs/>
                <w:spacing w:val="-2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b/>
                <w:bCs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>«</w:t>
            </w:r>
            <w:r>
              <w:rPr>
                <w:rFonts w:eastAsia="Source Han Sans CN Regular" w:cs="Lohit Devanagari"/>
                <w:b/>
                <w:bCs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>Кадровое обеспечение – молодой специалист»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,</w:t>
            </w:r>
            <w:r>
              <w:rPr>
                <w:rFonts w:eastAsia="Source Han Sans CN Regular" w:cs="Lohit Devanagari"/>
                <w:iCs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всего,</w:t>
            </w:r>
            <w:r>
              <w:rPr>
                <w:rFonts w:eastAsia="Source Han Sans CN Regular" w:cs="Lohit Devanagari"/>
                <w:iCs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в</w:t>
            </w:r>
            <w:r>
              <w:rPr>
                <w:rFonts w:eastAsia="Source Han Sans CN Regular" w:cs="Lohit Devanagari"/>
                <w:iCs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том</w:t>
            </w:r>
            <w:r>
              <w:rPr>
                <w:rFonts w:eastAsia="Source Han Sans CN Regular" w:cs="Lohit Devanagari"/>
                <w:iCs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iCs/>
                <w:kern w:val="2"/>
                <w:sz w:val="20"/>
                <w:szCs w:val="20"/>
                <w:lang w:val="ru-RU" w:eastAsia="zh-CN" w:bidi="ru-RU"/>
              </w:rPr>
              <w:t>числе: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Source Han Sans CN Regular" w:cs="Lohit Devanagari"/>
                <w:b/>
                <w:bCs/>
                <w:color w:val="000000"/>
                <w:kern w:val="2"/>
                <w:sz w:val="20"/>
                <w:szCs w:val="20"/>
                <w:lang w:val="ru-RU" w:eastAsia="zh-CN" w:bidi="ru-RU"/>
              </w:rPr>
              <w:t>0,0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Федеральный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Областной бюджет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rHeight w:val="354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Местный бюджет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rHeight w:val="286" w:hRule="atLeast"/>
        </w:trPr>
        <w:tc>
          <w:tcPr>
            <w:tcW w:w="9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Внебюджетные источники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/>
      </w:pPr>
      <w:r>
        <w:rPr/>
      </w:r>
    </w:p>
    <w:p>
      <w:pPr>
        <w:pStyle w:val="Normal"/>
        <w:rPr/>
      </w:pPr>
      <w:r>
        <w:rPr>
          <w:sz w:val="24"/>
        </w:rPr>
        <w:t>6. План реализации комплекса процессных мероприятий</w:t>
      </w:r>
    </w:p>
    <w:tbl>
      <w:tblPr>
        <w:tblStyle w:val="TableNormal"/>
        <w:tblW w:w="15213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600" w:noHBand="1" w:lastColumn="0" w:firstColumn="0" w:lastRow="0" w:firstRow="0"/>
      </w:tblPr>
      <w:tblGrid>
        <w:gridCol w:w="4708"/>
        <w:gridCol w:w="2626"/>
        <w:gridCol w:w="3201"/>
        <w:gridCol w:w="4677"/>
      </w:tblGrid>
      <w:tr>
        <w:trPr>
          <w:trHeight w:val="1053" w:hRule="atLeast"/>
        </w:trPr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Задача,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Lohit Devanagari"/>
                <w:spacing w:val="-5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/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3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Дата наступлен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327" w:leader="none"/>
              </w:tabs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ия контрольной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   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точки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Ответственный исполнитель</w:t>
            </w:r>
            <w:r>
              <w:rPr>
                <w:rFonts w:eastAsia="Source Han Sans CN Regular" w:cs="Lohit Devanagari"/>
                <w:spacing w:val="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(Ф.И.О., должность, наименование</w:t>
            </w:r>
            <w:r>
              <w:rPr>
                <w:rFonts w:eastAsia="Source Han Sans CN Regular" w:cs="Lohit Devanagari"/>
                <w:spacing w:val="-6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организации (участник муниципальной программы)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Вид подтверждающего</w:t>
            </w:r>
            <w:r>
              <w:rPr>
                <w:rFonts w:eastAsia="Source Han Sans CN Regular" w:cs="Lohit Devanagari"/>
                <w:spacing w:val="-37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документа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vertAlign w:val="superscript"/>
                <w:lang w:val="ru-RU" w:eastAsia="ru-RU" w:bidi="ru-RU"/>
              </w:rPr>
              <w:t>7</w:t>
            </w:r>
          </w:p>
        </w:tc>
      </w:tr>
      <w:tr>
        <w:trPr>
          <w:trHeight w:val="421" w:hRule="atLeast"/>
        </w:trPr>
        <w:tc>
          <w:tcPr>
            <w:tcW w:w="15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ConsPlusNonformat"/>
              <w:widowControl w:val="false"/>
              <w:tabs>
                <w:tab w:val="clear" w:pos="709"/>
                <w:tab w:val="center" w:pos="2410" w:leader="none"/>
                <w:tab w:val="center" w:pos="5670" w:leader="none"/>
              </w:tabs>
              <w:suppressAutoHyphens w:val="true"/>
              <w:spacing w:before="0" w:after="0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cs="PT Astra Serif" w:ascii="PT Astra Serif" w:hAnsi="PT Astra Serif"/>
                <w:color w:val="000000"/>
              </w:rPr>
              <w:t>Задача «Обеспечить систему здравоохранения высококвалифицированными кадрами»</w:t>
            </w:r>
          </w:p>
        </w:tc>
      </w:tr>
      <w:tr>
        <w:trPr>
          <w:trHeight w:val="299" w:hRule="atLeast"/>
        </w:trPr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Мероприятие</w:t>
            </w:r>
            <w:r>
              <w:rPr>
                <w:rFonts w:eastAsia="Source Han Sans CN Regular" w:cs="PT Astra Serif"/>
                <w:color w:val="000000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(результат)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Source Han Sans CN Regular" w:cs="PT Astra Serif"/>
                <w:color w:val="000000"/>
                <w:spacing w:val="-1"/>
                <w:kern w:val="2"/>
                <w:sz w:val="20"/>
                <w:szCs w:val="20"/>
                <w:lang w:val="ru-RU" w:eastAsia="zh-CN" w:bidi="ru-RU"/>
              </w:rPr>
              <w:t>7.1. «</w:t>
            </w:r>
            <w:r>
              <w:rPr>
                <w:rFonts w:eastAsia="Source Han Sans CN Regular" w:cs="Lohit Devanagari"/>
                <w:color w:val="000000"/>
                <w:kern w:val="2"/>
                <w:sz w:val="20"/>
                <w:szCs w:val="20"/>
                <w:lang w:val="ru-RU" w:eastAsia="zh-CN" w:bidi="ru-RU"/>
              </w:rPr>
              <w:t>Предоставлены меры стимулирования молодым специалистам здравоохранения в виде пособий (подъемных)»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X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ru-RU" w:bidi="ru-RU"/>
              </w:rPr>
              <w:t>X</w:t>
            </w:r>
          </w:p>
        </w:tc>
      </w:tr>
      <w:tr>
        <w:trPr>
          <w:trHeight w:val="298" w:hRule="atLeast"/>
        </w:trPr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ource Han Sans CN Regular" w:cs="Lohit Devanagari"/>
                <w:kern w:val="2"/>
                <w:lang w:val="ru-RU" w:bidi="ru-RU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Контрольная</w:t>
            </w:r>
            <w:r>
              <w:rPr>
                <w:rFonts w:eastAsia="Source Han Sans CN Regular" w:cs="Lohit Devanagari"/>
                <w:spacing w:val="-1"/>
                <w:kern w:val="2"/>
                <w:sz w:val="20"/>
                <w:szCs w:val="20"/>
                <w:lang w:val="ru-RU" w:eastAsia="zh-CN" w:bidi="ru-RU"/>
              </w:rPr>
              <w:t xml:space="preserve"> 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точка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zh-CN" w:bidi="ru-RU"/>
              </w:rPr>
              <w:t xml:space="preserve"> 7</w:t>
            </w: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 xml:space="preserve">.1 </w:t>
            </w:r>
            <w:r>
              <w:rPr>
                <w:rFonts w:eastAsia="Source Han Sans CN Regular" w:cs="Lohit Devanagari"/>
                <w:spacing w:val="-4"/>
                <w:kern w:val="2"/>
                <w:sz w:val="20"/>
                <w:szCs w:val="20"/>
                <w:lang w:val="ru-RU" w:eastAsia="ru-RU" w:bidi="ru-RU"/>
              </w:rPr>
              <w:t>Осуществлен мониторинг достижения плановых значений целевых показателей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Ежеквартально до 14 числа следующего за отчетным кварталом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Чикунова Юлия Валерьевна, главный специалист УСЗН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="Source Han Sans CN Regular" w:cs="Lohit Devanagari"/>
                <w:kern w:val="2"/>
                <w:sz w:val="20"/>
                <w:szCs w:val="20"/>
                <w:lang w:val="ru-RU" w:eastAsia="zh-CN" w:bidi="ru-RU"/>
              </w:rPr>
              <w:t>Отчет об исполнении муниципальной программы</w:t>
            </w:r>
          </w:p>
        </w:tc>
      </w:tr>
    </w:tbl>
    <w:p>
      <w:pPr>
        <w:pStyle w:val="Style61"/>
        <w:spacing w:before="0" w:after="0"/>
        <w:contextualSpacing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sectPr>
          <w:headerReference w:type="default" r:id="rId26"/>
          <w:headerReference w:type="first" r:id="rId27"/>
          <w:footerReference w:type="default" r:id="rId28"/>
          <w:footerReference w:type="first" r:id="rId29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jc w:val="left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9"/>
          <w:tab w:val="center" w:pos="5604" w:leader="none"/>
          <w:tab w:val="right" w:pos="10488" w:leader="none"/>
        </w:tabs>
        <w:ind w:left="0" w:hanging="0"/>
        <w:jc w:val="right"/>
        <w:outlineLvl w:val="1"/>
        <w:rPr>
          <w:rFonts w:cs="Times New Roman"/>
          <w:color w:val="000000"/>
        </w:rPr>
      </w:pPr>
      <w:r>
        <w:rPr>
          <w:rFonts w:cs="Times New Roman"/>
          <w:color w:val="000000"/>
        </w:rPr>
        <w:t>Приложение № 10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муниципальной программе</w:t>
      </w:r>
    </w:p>
    <w:p>
      <w:pPr>
        <w:pStyle w:val="Normal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Анжеро-Судженского городского округа» на 2026-2030 годы</w:t>
      </w:r>
    </w:p>
    <w:p>
      <w:pPr>
        <w:pStyle w:val="NoSpacing"/>
        <w:rPr>
          <w:color w:val="000000"/>
        </w:rPr>
      </w:pPr>
      <w:r>
        <w:rPr>
          <w:color w:val="000000"/>
          <w:szCs w:val="28"/>
        </w:rPr>
        <w:t xml:space="preserve">Методика </w:t>
      </w:r>
    </w:p>
    <w:p>
      <w:pPr>
        <w:pStyle w:val="NoSpacing"/>
        <w:rPr>
          <w:color w:val="000000"/>
        </w:rPr>
      </w:pPr>
      <w:r>
        <w:rPr>
          <w:color w:val="000000"/>
          <w:szCs w:val="28"/>
        </w:rPr>
        <w:t>расчета показателей муниципальной программы</w:t>
      </w:r>
    </w:p>
    <w:p>
      <w:pPr>
        <w:pStyle w:val="Normal"/>
        <w:rPr>
          <w:color w:val="000000"/>
        </w:rPr>
      </w:pPr>
      <w:r>
        <w:rPr>
          <w:color w:val="000000"/>
          <w:szCs w:val="28"/>
        </w:rPr>
        <w:t>«Социальная поддержка населения</w:t>
      </w:r>
    </w:p>
    <w:p>
      <w:pPr>
        <w:pStyle w:val="BodyTextIndent2"/>
        <w:spacing w:lineRule="auto" w:line="240"/>
        <w:ind w:left="0" w:hanging="0"/>
        <w:rPr>
          <w:color w:val="000000"/>
        </w:rPr>
      </w:pPr>
      <w:r>
        <w:rPr>
          <w:color w:val="000000"/>
          <w:szCs w:val="28"/>
        </w:rPr>
        <w:t>Анжеро-Судженского городского округа»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>1. Показатели муниципальной программы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shd w:fill="FFFFFF" w:val="clear"/>
        </w:rPr>
        <w:t xml:space="preserve">1.1. 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>Доля граждан, получающих социальную поддержку в органах социальной защиты населения, в общей численности населения АСГО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zCs w:val="28"/>
          <w:shd w:fill="FFFFFF" w:val="clear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shd w:fill="FFFFFF" w:val="clear"/>
        </w:rPr>
        <w:t>Определяется в процентах,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>Кол-во граждан, получающих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 w:bidi="ru-RU"/>
        </w:rPr>
        <w:t xml:space="preserve"> социальную поддержку в органах социальной защиты населения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/ Общая численность населения АСГО * 100%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>является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ru-RU" w:bidi="ru-RU"/>
        </w:rPr>
        <w:t>Управление социальной защиты населения администрации Анжеро-Судженкого городского округа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 xml:space="preserve">2.2. 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 w:bidi="ru-RU"/>
        </w:rPr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zCs w:val="28"/>
          <w:shd w:fill="FFFFFF" w:val="clear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shd w:fill="FFFFFF" w:val="clear"/>
        </w:rPr>
        <w:t>Определяется в процентах,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Кол-во граждан, 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 w:bidi="ru-RU"/>
        </w:rPr>
        <w:t>получивших социальные услуги в учреждениях социального обслуживания населения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/ Общая численность 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 w:bidi="ru-RU"/>
        </w:rPr>
        <w:t>граждан обратившихся за получением социальных услуг в учреждениях социального обслуживания населения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* 100%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>отчет подведомственного учреждения</w:t>
      </w:r>
      <w:r>
        <w:rPr>
          <w:rFonts w:cs="Times New Roman" w:ascii="Times New Roman" w:hAnsi="Times New Roman"/>
          <w:i/>
          <w:iCs w:val="false"/>
          <w:color w:val="000000"/>
          <w:sz w:val="28"/>
          <w:szCs w:val="28"/>
          <w:lang w:eastAsia="ru-RU" w:bidi="ru-RU"/>
        </w:rPr>
        <w:t xml:space="preserve"> 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 w:bidi="ru-RU"/>
        </w:rPr>
        <w:t>МБУ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 w:bidi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 w:bidi="ru-RU"/>
        </w:rPr>
        <w:t>АСГО "Анжеро-Судженский Комплексный центр социального обслуживания населения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shd w:fill="FFFFFF" w:val="clear"/>
        </w:rPr>
        <w:t>2.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 xml:space="preserve"> Показатели комплекса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>процессных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>мероприятий «Милосердие»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lang w:eastAsia="zh-CN"/>
        </w:rPr>
        <w:t xml:space="preserve">2.1. 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  <w:lang w:eastAsia="zh-CN"/>
        </w:rPr>
        <w:t>Доля граждан, получивших адресную помощь, от общей численности обратившихся граждан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>Определяется в процентах, рассчитывается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>Кол-во граждан, получивших адресную помощь / Общая численность обратившихся граждан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  <w:szCs w:val="28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 xml:space="preserve">Источником информации является 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ru-RU" w:bidi="ru-RU"/>
        </w:rPr>
        <w:t>Управление социальной защиты населения администрации Анжеро-Судженкого городского округа</w:t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 xml:space="preserve">2.2. 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>Доля общественных организаций, получивших поддержку в текущем году по сравнению с предыдущим годом</w:t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>Определяется в процентах, рассчитывается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shd w:fill="FFFFFF" w:val="clear"/>
          <w:lang w:eastAsia="ru-RU" w:bidi="ru-RU"/>
        </w:rPr>
        <w:t xml:space="preserve">Количество 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 w:bidi="ru-RU"/>
        </w:rPr>
        <w:t>общественных организаций, получивших поддержку в текущем году</w:t>
      </w:r>
      <w:r>
        <w:rPr>
          <w:rFonts w:cs="Times New Roman" w:ascii="Times New Roman" w:hAnsi="Times New Roman"/>
          <w:i/>
          <w:color w:val="000000"/>
          <w:sz w:val="28"/>
          <w:szCs w:val="28"/>
          <w:shd w:fill="FFFFFF" w:val="clear"/>
          <w:lang w:eastAsia="ru-RU" w:bidi="ru-RU"/>
        </w:rPr>
        <w:t xml:space="preserve"> / Количество 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 w:bidi="ru-RU"/>
        </w:rPr>
        <w:t>общественных организаций, получивших поддержку в предыдущем году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</w:t>
      </w:r>
      <w:r>
        <w:rPr>
          <w:rFonts w:eastAsia="Times New Roman"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ru-RU" w:bidi="ru-RU"/>
        </w:rPr>
        <w:t>Управление социальной защиты населения администрации Анжеро-Судженкого городского округа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 xml:space="preserve">2.3. 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>Кол-во временно трудоустроенных граждан, состоящих на учете в службе занятости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 xml:space="preserve">Определяется в человеках. Учитывает количество   временно трудоустроенных граждан на отчётную дату. </w:t>
      </w:r>
      <w:r>
        <w:rPr>
          <w:rFonts w:cs="Times New Roman" w:ascii="Times New Roman" w:hAnsi="Times New Roman"/>
          <w:color w:val="000000"/>
          <w:szCs w:val="28"/>
          <w:lang w:eastAsia="zh-CN"/>
        </w:rPr>
        <w:t>В течении одного финансового года показатель учитывается нарастающим итогом  (таблица 3).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 является отчет</w:t>
      </w: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 xml:space="preserve"> МБУ АСГО «Городской архив»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 xml:space="preserve">2.4.  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>Кол-во семей граждан, принимавших (принимающих) участие в боевых действиях в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>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операции, обратившихся за поддержкой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shd w:fill="FFFFFF" w:val="clear"/>
          <w:lang w:eastAsia="zh-CN"/>
        </w:rPr>
        <w:tab/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>Определяется в человеках. Учитывает количество   семей граждан, принимавших (принимающих) участие в боевых действиях в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</w:rPr>
        <w:t>специальной военной операции на территориях Донецкой Народной Республики, Луганской Народной Республики и Украины с 24 февраля 2022г., на территориях Запорожской области и Херсонской области с 30 сентября 2022г. и членов семей, погибших (умерших) при выполнении задач в ходе специальной военной операции, обратившихся за поддержкой</w:t>
      </w:r>
      <w:r>
        <w:rPr>
          <w:rFonts w:cs="Times New Roman" w:ascii="Times New Roman" w:hAnsi="Times New Roman"/>
          <w:color w:val="000000"/>
          <w:szCs w:val="28"/>
          <w:lang w:eastAsia="zh-CN"/>
        </w:rPr>
        <w:t xml:space="preserve"> (таблица 3). В течении одного финансового года показатель учитывается нарастающим итогом  (таблица 3).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Source Han Sans CN Regular" w:cs="Times New Roman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ru-RU" w:bidi="ru-RU"/>
        </w:rPr>
        <w:t>является</w:t>
      </w:r>
      <w:r>
        <w:rPr>
          <w:rFonts w:eastAsia="Source Han Sans CN Regular" w:cs="Times New Roman" w:ascii="Times New Roman" w:hAnsi="Times New Roman"/>
          <w:i/>
          <w:iCs w:val="false"/>
          <w:color w:val="000000"/>
          <w:kern w:val="2"/>
          <w:sz w:val="28"/>
          <w:szCs w:val="28"/>
          <w:shd w:fill="FFFFFF" w:val="clear"/>
          <w:lang w:val="ru-RU" w:eastAsia="ru-RU" w:bidi="ru-RU"/>
        </w:rPr>
        <w:t xml:space="preserve">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ru-RU" w:bidi="ru-RU"/>
        </w:rPr>
        <w:t xml:space="preserve">Управление социальной защиты населения администрации Анжеро-Судженкого городского округа,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0"/>
          <w:sz w:val="28"/>
          <w:szCs w:val="28"/>
          <w:shd w:fill="FFFFFF" w:val="clear"/>
          <w:lang w:val="ru-RU" w:eastAsia="ru-RU" w:bidi="ru-RU"/>
        </w:rPr>
        <w:t>Управление жилищно-коммунального хозяйства администрации Анжеро-Судженского городского округа.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  <w:lang w:eastAsia="zh-CN"/>
        </w:rPr>
        <w:t xml:space="preserve">3.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 xml:space="preserve">Показатели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комплекса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процессных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мероприятий</w:t>
      </w:r>
      <w:r>
        <w:rPr>
          <w:rFonts w:eastAsia="Times New Roman" w:cs="Times New Roman" w:ascii="Times New Roman" w:hAnsi="Times New Roman"/>
          <w:iCs/>
          <w:color w:val="000000"/>
          <w:spacing w:val="-5"/>
          <w:szCs w:val="28"/>
          <w:u w:val="single" w:color="FFFFFF"/>
          <w:lang w:eastAsia="zh-CN"/>
        </w:rPr>
        <w:t>«Поддержка лиц, замещавших муниципальные должности, и должности муниципальной службы муниципального образования «Анжеро-Судженский городской округ» в виде пенсии за выслугу лет»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  <w:u w:val="single" w:color="FFFFFF"/>
        </w:rPr>
      </w:pP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iCs/>
          <w:color w:val="000000"/>
          <w:spacing w:val="-6"/>
          <w:szCs w:val="28"/>
          <w:lang w:eastAsia="zh-CN"/>
        </w:rPr>
        <w:t xml:space="preserve">3.1.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</w:rPr>
        <w:t>Доля лиц, замещавших муниципальные должности и должности муниципальной службы муниципального образования АСГО, получившие поддержку в виде пенсии за выслугу лет, от общей численности лиц, обратившихся в управление социальной защиты населения АСГО за назначением данной выплаты.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iCs/>
          <w:color w:val="000000"/>
          <w:spacing w:val="-5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pacing w:val="-5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>Определяется в человеках,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</w:rPr>
        <w:t>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</w:rPr>
        <w:t>Кол-во граждан, получивших поддержку в виде пенсии за выслугу лет / Общая численность обратившихся граждан за назначением данной выплаты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 является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ru-RU" w:bidi="ru-RU"/>
        </w:rPr>
        <w:t>Управление социальной защиты населения администрации Анжеро-Судженкого городского округа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  <w:lang w:eastAsia="zh-CN"/>
        </w:rPr>
        <w:t xml:space="preserve">4.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 xml:space="preserve">Показатели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комплекса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процессных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 xml:space="preserve">мероприятий   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lang w:eastAsia="zh-CN"/>
        </w:rPr>
        <w:t>«Доступная среда»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lang w:eastAsia="zh-CN"/>
        </w:rPr>
        <w:t>4.1.</w:t>
      </w:r>
      <w:r>
        <w:rPr>
          <w:rFonts w:eastAsia="Times New Roman" w:cs="Times New Roman" w:ascii="Times New Roman" w:hAnsi="Times New Roman"/>
          <w:i/>
          <w:iCs/>
          <w:color w:val="000000"/>
          <w:spacing w:val="-5"/>
          <w:szCs w:val="28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</w:rPr>
        <w:t>Доля инвалидов и детей - инвалидов, принимающих участие в мероприятиях культурной жизни города и спортивных соревнованиях от общего числа инвалидов общественных организаций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pacing w:val="-6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>Определяется в человеках,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ConsPlusNormal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pacing w:val="-6"/>
          <w:sz w:val="28"/>
          <w:szCs w:val="28"/>
          <w:lang w:bidi="ru-RU"/>
        </w:rPr>
        <w:t>Количество инвалидов, принявших участие в мероприятиях / Общее количество  инвалидов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</w:rPr>
        <w:t xml:space="preserve"> числящихся в общественных организациях*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 является отчет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ru-RU" w:bidi="ru-RU"/>
        </w:rPr>
        <w:t xml:space="preserve">Комитет по физической культуре, спорту и молодежной политике администрации Анжеро-Судженкого городского округа,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zh-CN" w:bidi="ru-RU"/>
        </w:rPr>
        <w:t xml:space="preserve">Управление культуры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ru-RU" w:bidi="ru-RU"/>
        </w:rPr>
        <w:t xml:space="preserve">администрации Анжеро-Судженкого городского округа 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  <w:t xml:space="preserve">4.2.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</w:rPr>
        <w:t>Доля детей-инвалидов, которым созданы условия для получения качественного дошкольного, начального общего, основного общего, среднего общего образования от общей численности детей-инвалидов дошкольного и школьного возраста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  <w:t>Определяется в человеках,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ConsPlusNormal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bidi="ru-RU"/>
        </w:rPr>
        <w:t>Количество детей-инвалидов, которым созданы условия для получения качественного дошкольного, начального общего, основного общего, среднего общего образования / Общее количество детей- инвалидов дошкольного и школьного возраста в Анжеро-Судженском городском округе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</w:rPr>
        <w:t xml:space="preserve">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 xml:space="preserve">Источником информации является отчет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zh-CN" w:bidi="ru-RU"/>
        </w:rPr>
        <w:t xml:space="preserve">Управление образования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shd w:fill="FFFFFF" w:val="clear"/>
          <w:lang w:val="ru-RU" w:eastAsia="ru-RU" w:bidi="ru-RU"/>
        </w:rPr>
        <w:t xml:space="preserve">администрации Анжеро-Судженкого городского округа 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  <w:shd w:fill="FFFFFF" w:val="clear"/>
        </w:rPr>
        <w:t xml:space="preserve">5. Показатели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комплекса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процессных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 xml:space="preserve">мероприятий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lang w:eastAsia="zh-CN"/>
        </w:rPr>
        <w:t xml:space="preserve">«Совершенствование системы управления и информационного обеспечения в сфере социальной </w:t>
      </w:r>
      <w:r>
        <w:rPr>
          <w:rFonts w:eastAsia="Times New Roman" w:cs="Times New Roman" w:ascii="Times New Roman" w:hAnsi="Times New Roman"/>
          <w:color w:val="000000"/>
          <w:spacing w:val="-3"/>
          <w:szCs w:val="28"/>
          <w:u w:val="single" w:color="FFFFFF"/>
          <w:lang w:eastAsia="zh-CN"/>
        </w:rPr>
        <w:t>поддержки и социального обслуживания населения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lang w:eastAsia="zh-CN"/>
        </w:rPr>
        <w:t>»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  <w:t>5.1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</w:rPr>
        <w:t xml:space="preserve">.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</w:rPr>
        <w:t>Доля освоенных средств в общем объёме средств, предусмотренных на реализацию полномочий управления, как исполнительного органа государственной власти отраслевой компетенции</w:t>
      </w:r>
    </w:p>
    <w:p>
      <w:pPr>
        <w:pStyle w:val="Normal"/>
        <w:widowControl/>
        <w:numPr>
          <w:ilvl w:val="0"/>
          <w:numId w:val="7"/>
        </w:numPr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  <w:t>Определяется в процентах,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ConsPlusNonformat"/>
        <w:widowControl/>
        <w:tabs>
          <w:tab w:val="clear" w:pos="709"/>
          <w:tab w:val="center" w:pos="2410" w:leader="none"/>
          <w:tab w:val="center" w:pos="5670" w:leader="none"/>
        </w:tabs>
        <w:spacing w:before="0" w:after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pacing w:val="-6"/>
          <w:sz w:val="28"/>
          <w:szCs w:val="28"/>
          <w:lang w:eastAsia="ru-RU" w:bidi="ru-RU"/>
        </w:rPr>
        <w:t>Сумма, освоенных денежных средств, при реализации полномочий / Сумма доведённого финансирования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является отчет об исполнении бюджета главного распорядителя (распорядителя), получателя средств бюджета за отчетный период.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ConsPlusNonformat"/>
        <w:widowControl/>
        <w:tabs>
          <w:tab w:val="clear" w:pos="709"/>
          <w:tab w:val="center" w:pos="2410" w:leader="none"/>
          <w:tab w:val="center" w:pos="5670" w:leader="none"/>
        </w:tabs>
        <w:spacing w:before="0" w:after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pacing w:val="-5"/>
          <w:sz w:val="28"/>
          <w:szCs w:val="28"/>
          <w:u w:val="single" w:color="FFFFFF"/>
          <w:lang w:eastAsia="ru-RU" w:bidi="ru-RU"/>
        </w:rPr>
        <w:t>6. Показатели комплекса</w:t>
      </w:r>
      <w:r>
        <w:rPr>
          <w:rFonts w:cs="Times New Roman" w:ascii="Times New Roman" w:hAnsi="Times New Roman"/>
          <w:color w:val="000000"/>
          <w:spacing w:val="-4"/>
          <w:sz w:val="28"/>
          <w:szCs w:val="28"/>
          <w:u w:val="single" w:color="FFFFFF"/>
          <w:lang w:eastAsia="ru-RU" w:bidi="ru-RU"/>
        </w:rPr>
        <w:t xml:space="preserve"> 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  <w:u w:val="single" w:color="FFFFFF"/>
          <w:lang w:eastAsia="ru-RU" w:bidi="ru-RU"/>
        </w:rPr>
        <w:t>процессных</w:t>
      </w:r>
      <w:r>
        <w:rPr>
          <w:rFonts w:cs="Times New Roman" w:ascii="Times New Roman" w:hAnsi="Times New Roman"/>
          <w:color w:val="000000"/>
          <w:spacing w:val="-4"/>
          <w:sz w:val="28"/>
          <w:szCs w:val="28"/>
          <w:u w:val="single" w:color="FFFFFF"/>
          <w:lang w:eastAsia="ru-RU" w:bidi="ru-RU"/>
        </w:rPr>
        <w:t xml:space="preserve"> 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  <w:u w:val="single" w:color="FFFFFF"/>
          <w:lang w:eastAsia="ru-RU" w:bidi="ru-RU"/>
        </w:rPr>
        <w:t xml:space="preserve">мероприятий 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  <w:u w:val="single" w:color="FFFFFF"/>
        </w:rPr>
        <w:t>«</w:t>
      </w:r>
      <w:r>
        <w:rPr>
          <w:rFonts w:cs="Times New Roman" w:ascii="Times New Roman" w:hAnsi="Times New Roman"/>
          <w:color w:val="000000"/>
          <w:spacing w:val="-3"/>
          <w:sz w:val="28"/>
          <w:szCs w:val="28"/>
          <w:u w:val="single" w:color="FFFFFF"/>
        </w:rPr>
        <w:t>Повышение качества и доступности социальных услуг»</w:t>
      </w:r>
    </w:p>
    <w:p>
      <w:pPr>
        <w:pStyle w:val="Normal"/>
        <w:widowControl/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  <w:lang w:eastAsia="zh-CN"/>
        </w:rPr>
        <w:t>6.1. Доля освоенных средств в общем объёме средств, предусмотренных на обеспечение  содержания муниципальных учреждений социального обслуживания</w:t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  <w:t>Определяется в процентах,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pacing w:val="-6"/>
          <w:sz w:val="28"/>
          <w:szCs w:val="28"/>
          <w:lang w:eastAsia="ru-RU" w:bidi="ru-RU"/>
        </w:rPr>
        <w:t>Сумма, освоенных денежных средств, на обеспечение содержания муниципальных учреждений социального обслуживания / Сумма доведённого финансирования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eastAsia="ru-RU" w:bidi="ru-RU"/>
        </w:rPr>
        <w:t>Источником информации</w:t>
      </w:r>
      <w:r>
        <w:rPr>
          <w:i/>
          <w:color w:val="000000"/>
          <w:sz w:val="28"/>
          <w:lang w:eastAsia="ru-RU" w:bidi="ru-RU"/>
        </w:rPr>
        <w:t xml:space="preserve"> 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>является отчет об исполнении бюджета главного распорядителя (распорядителя), получателя средств бюджета за отчетный период.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i/>
          <w:i/>
          <w:color w:val="000000"/>
          <w:sz w:val="28"/>
          <w:lang w:eastAsia="ru-RU" w:bidi="ru-RU"/>
        </w:rPr>
      </w:pPr>
      <w:r>
        <w:rPr>
          <w:i/>
          <w:color w:val="000000"/>
          <w:sz w:val="28"/>
          <w:lang w:eastAsia="ru-RU" w:bidi="ru-RU"/>
        </w:rPr>
      </w:r>
    </w:p>
    <w:p>
      <w:pPr>
        <w:pStyle w:val="Normal"/>
        <w:widowControl/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shd w:fill="FFFFFF" w:val="clear"/>
        </w:rPr>
        <w:t>6.2.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  <w:shd w:fill="FFFFFF" w:val="clear"/>
        </w:rPr>
        <w:t>Доля освоенных средств в общем объёме средств, предусмотренных на реализацию мероприятий по долговременному уходу</w:t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  <w:t>Определяется в процентах,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pacing w:val="-6"/>
          <w:sz w:val="28"/>
          <w:szCs w:val="28"/>
          <w:lang w:eastAsia="ru-RU" w:bidi="ru-RU"/>
        </w:rPr>
        <w:t>Сумма, освоенных денежных средств, на обеспечение содержания муниципальных учреждений социального обслуживания / Сумма доведённого финансирования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>Источником информации является отчет об исполнении бюджета главного распорядителя (распорядителя), получателя средств бюджета за отчетный период.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spacing w:lineRule="auto" w:line="228"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3"/>
          <w:szCs w:val="28"/>
          <w:shd w:fill="FFFFFF" w:val="clear"/>
          <w:lang w:eastAsia="zh-CN"/>
        </w:rPr>
        <w:t xml:space="preserve">6.3. 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  <w:szCs w:val="28"/>
          <w:shd w:fill="FFFFFF" w:val="clear"/>
          <w:lang w:eastAsia="zh-CN"/>
        </w:rPr>
        <w:t>Доля пожилых граждан и инвалидов, получающих долговременный уход, от общего числа нуждающихся в таком уходе граждан</w:t>
      </w:r>
    </w:p>
    <w:p>
      <w:pPr>
        <w:pStyle w:val="Normal"/>
        <w:widowControl/>
        <w:spacing w:lineRule="auto" w:line="228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pacing w:val="-3"/>
          <w:szCs w:val="28"/>
          <w:lang w:eastAsia="zh-CN"/>
        </w:rPr>
      </w:pPr>
      <w:r>
        <w:rPr>
          <w:rFonts w:eastAsia="Times New Roman" w:cs="Times New Roman" w:ascii="Times New Roman" w:hAnsi="Times New Roman"/>
          <w:color w:val="000000"/>
          <w:spacing w:val="-3"/>
          <w:szCs w:val="28"/>
          <w:lang w:eastAsia="zh-CN"/>
        </w:rPr>
      </w:r>
    </w:p>
    <w:p>
      <w:pPr>
        <w:pStyle w:val="NoSpacing"/>
        <w:widowControl/>
        <w:numPr>
          <w:ilvl w:val="1"/>
          <w:numId w:val="7"/>
        </w:numPr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</w:rPr>
        <w:t>Определяется в процентах,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ConsPlusNormal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pacing w:val="-6"/>
          <w:sz w:val="28"/>
          <w:szCs w:val="28"/>
          <w:lang w:bidi="ru-RU"/>
        </w:rPr>
        <w:t>Количество охваченных лиц старше трудоспособного возраста, признанных нуждающимися в социальном обслуживании, системой долговременного ухода / Общее количество граждан пожилого возраста и инвалидов, признанных нуждающимися в социальном обслуживании, проживающих в АСГО, за исключением граждан с нулевой группы ухода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</w:rPr>
        <w:t xml:space="preserve">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является отчет  подведомственного учреждения 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>МБУ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ru-RU" w:bidi="ru-RU"/>
        </w:rPr>
        <w:t>А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СГО "Анжеро-Судженский Комплексный центр социального обслуживания населения</w:t>
      </w:r>
    </w:p>
    <w:p>
      <w:pPr>
        <w:pStyle w:val="Normal"/>
        <w:widowControl/>
        <w:spacing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rmal"/>
        <w:widowControl/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</w:rPr>
        <w:t xml:space="preserve">7. Показатели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комплекса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>процессных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Cs w:val="28"/>
          <w:u w:val="single" w:color="FFFFFF"/>
        </w:rPr>
        <w:t xml:space="preserve">мероприятий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  <w:lang w:eastAsia="zh-CN"/>
        </w:rPr>
        <w:t>«Развитие мер социальной поддержки отдельных категорий граждан»</w:t>
      </w:r>
    </w:p>
    <w:p>
      <w:pPr>
        <w:pStyle w:val="Normal"/>
        <w:widowControl/>
        <w:tabs>
          <w:tab w:val="clear" w:pos="709"/>
          <w:tab w:val="left" w:pos="2144" w:leader="none"/>
          <w:tab w:val="center" w:pos="2410" w:leader="none"/>
          <w:tab w:val="center" w:pos="5670" w:leader="none"/>
        </w:tabs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shd w:fill="FFFFFF" w:val="clear"/>
        </w:rPr>
        <w:t xml:space="preserve">7.1.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  <w:shd w:fill="FFFFFF" w:val="clear"/>
        </w:rPr>
        <w:t>Количество многодетных семей, воспользовавшихся региональными мерами социальной поддержки</w:t>
      </w:r>
    </w:p>
    <w:p>
      <w:pPr>
        <w:pStyle w:val="Normal"/>
        <w:widowControl/>
        <w:spacing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Cs w:val="28"/>
        </w:rPr>
      </w:pPr>
      <w:r>
        <w:rPr>
          <w:rFonts w:eastAsia="Times New Roman" w:cs="Times New Roman" w:ascii="Times New Roman" w:hAnsi="Times New Roman"/>
          <w:color w:val="000000"/>
          <w:szCs w:val="28"/>
        </w:rPr>
      </w:r>
    </w:p>
    <w:p>
      <w:pPr>
        <w:pStyle w:val="Normal"/>
        <w:widowControl/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shd w:fill="FFFFFF" w:val="clear"/>
        </w:rPr>
        <w:t>Определяется в человеках. Показатель учитывает общее число граждан, получающих данные меры социальной поддержки. Показатель рассчитывается нарастающим итогом к базовому значению.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Источником информации является</w:t>
      </w: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ru-RU" w:bidi="ru-RU"/>
        </w:rPr>
        <w:t>Управление социальной защиты населения администрации Анжеро-Судженкого городского округа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rmal"/>
        <w:widowControl/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3"/>
          <w:szCs w:val="28"/>
          <w:shd w:fill="FFFFFF" w:val="clear"/>
        </w:rPr>
        <w:t xml:space="preserve">7.2 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  <w:szCs w:val="28"/>
          <w:shd w:fill="FFFFFF" w:val="clear"/>
        </w:rPr>
        <w:t>Доля граждан, охваченных государственной социальной помощью на основании социального контракта, в общей численности малоимущих граждан</w:t>
      </w:r>
    </w:p>
    <w:p>
      <w:pPr>
        <w:pStyle w:val="Normal"/>
        <w:widowControl/>
        <w:spacing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pacing w:val="-3"/>
          <w:szCs w:val="28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pacing w:val="-3"/>
          <w:szCs w:val="28"/>
          <w:shd w:fill="FFFFFF" w:val="clear"/>
        </w:rPr>
      </w:r>
    </w:p>
    <w:p>
      <w:pPr>
        <w:pStyle w:val="NoSpacing"/>
        <w:widowControl/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shd w:fill="FFFFFF" w:val="clear"/>
        </w:rPr>
        <w:t>Определяется в процентах, рассчитывается</w:t>
      </w:r>
      <w:r>
        <w:rPr>
          <w:rFonts w:eastAsia="Times New Roman" w:cs="Times New Roman" w:ascii="Times New Roman" w:hAnsi="Times New Roman"/>
          <w:color w:val="000000"/>
          <w:szCs w:val="28"/>
        </w:rPr>
        <w:t xml:space="preserve"> по формуле:</w:t>
      </w:r>
    </w:p>
    <w:p>
      <w:pPr>
        <w:pStyle w:val="NoSpacing"/>
        <w:widowControl/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  <w:shd w:fill="FFFFFF" w:val="clear"/>
        </w:rPr>
        <w:t>Кол-во граждан, получающих меры социальной поддержки / Общее кол-во  граждан, обратившихся за получением мер социальной поддержки</w:t>
      </w:r>
      <w:r>
        <w:rPr>
          <w:rFonts w:eastAsia="Times New Roman" w:cs="Times New Roman" w:ascii="Times New Roman" w:hAnsi="Times New Roman"/>
          <w:i/>
          <w:iCs/>
          <w:color w:val="000000"/>
          <w:szCs w:val="28"/>
        </w:rPr>
        <w:t xml:space="preserve"> * 100%.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 xml:space="preserve">Источником информации является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ru-RU" w:bidi="ru-RU"/>
        </w:rPr>
        <w:t>Управление социальной защиты населения администрации Анжеро-Судженкого городского округа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 w:bidi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 w:bidi="ru-RU"/>
        </w:rPr>
      </w:r>
    </w:p>
    <w:p>
      <w:pPr>
        <w:pStyle w:val="NoSpacing"/>
        <w:widowControl/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</w:rPr>
        <w:t>8.</w:t>
      </w:r>
      <w:r>
        <w:rPr>
          <w:rFonts w:eastAsia="Times New Roman" w:cs="Times New Roman" w:ascii="Times New Roman" w:hAnsi="Times New Roman"/>
          <w:color w:val="000000"/>
          <w:spacing w:val="-6"/>
          <w:szCs w:val="28"/>
          <w:u w:val="single" w:color="FFFFFF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</w:rPr>
        <w:t>Показатели комплекса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</w:rPr>
        <w:t>процессных</w:t>
      </w:r>
      <w:r>
        <w:rPr>
          <w:rFonts w:eastAsia="Times New Roman" w:cs="Times New Roman" w:ascii="Times New Roman" w:hAnsi="Times New Roman"/>
          <w:color w:val="000000"/>
          <w:spacing w:val="-4"/>
          <w:szCs w:val="28"/>
          <w:u w:val="single" w:color="FFFFFF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</w:rPr>
        <w:t xml:space="preserve">мероприятий </w:t>
      </w:r>
      <w:r>
        <w:rPr>
          <w:rFonts w:eastAsia="Times New Roman" w:cs="Times New Roman" w:ascii="Times New Roman" w:hAnsi="Times New Roman"/>
          <w:color w:val="000000"/>
          <w:spacing w:val="-5"/>
          <w:szCs w:val="28"/>
          <w:u w:val="single" w:color="FFFFFF"/>
          <w:shd w:fill="FFFFFF" w:val="clear"/>
          <w:lang w:eastAsia="zh-CN"/>
        </w:rPr>
        <w:t>«Здоровье горожан»</w:t>
      </w:r>
    </w:p>
    <w:p>
      <w:pPr>
        <w:pStyle w:val="NoSpacing"/>
        <w:widowControl/>
        <w:tabs>
          <w:tab w:val="clear" w:pos="709"/>
          <w:tab w:val="left" w:pos="0" w:leader="none"/>
          <w:tab w:val="left" w:pos="851" w:leader="none"/>
          <w:tab w:val="left" w:pos="1276" w:leader="none"/>
        </w:tabs>
        <w:spacing w:before="0" w:after="0"/>
        <w:contextualSpacing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6"/>
          <w:szCs w:val="28"/>
          <w:shd w:fill="FFFFFF" w:val="clear"/>
          <w:lang w:eastAsia="zh-CN"/>
        </w:rPr>
        <w:t xml:space="preserve">8.1 </w:t>
      </w:r>
      <w:r>
        <w:rPr>
          <w:rFonts w:eastAsia="Times New Roman" w:cs="Times New Roman" w:ascii="Times New Roman" w:hAnsi="Times New Roman"/>
          <w:i/>
          <w:iCs/>
          <w:color w:val="000000"/>
          <w:spacing w:val="-6"/>
          <w:szCs w:val="28"/>
          <w:shd w:fill="FFFFFF" w:val="clear"/>
          <w:lang w:eastAsia="zh-CN"/>
        </w:rPr>
        <w:t>Обеспеченность врачами</w:t>
      </w:r>
    </w:p>
    <w:p>
      <w:pPr>
        <w:pStyle w:val="ConsPlusNonformat"/>
        <w:widowControl/>
        <w:tabs>
          <w:tab w:val="clear" w:pos="709"/>
          <w:tab w:val="center" w:pos="2410" w:leader="none"/>
          <w:tab w:val="center" w:pos="5670" w:leader="none"/>
        </w:tabs>
        <w:spacing w:before="0" w:after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pacing w:val="-6"/>
          <w:sz w:val="28"/>
          <w:szCs w:val="28"/>
          <w:shd w:fill="FFFFFF" w:val="clear"/>
          <w:lang w:bidi="ru-RU"/>
        </w:rPr>
        <w:t>Определяется в человеках, рассчитывается по формуле:</w:t>
      </w:r>
    </w:p>
    <w:p>
      <w:pPr>
        <w:pStyle w:val="ConsPlusNonformat"/>
        <w:widowControl/>
        <w:tabs>
          <w:tab w:val="clear" w:pos="709"/>
          <w:tab w:val="center" w:pos="2410" w:leader="none"/>
          <w:tab w:val="center" w:pos="5670" w:leader="none"/>
        </w:tabs>
        <w:spacing w:before="0" w:after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/>
          <w:iCs/>
          <w:color w:val="000000"/>
          <w:spacing w:val="-6"/>
          <w:sz w:val="28"/>
          <w:szCs w:val="28"/>
          <w:shd w:fill="FFFFFF" w:val="clear"/>
          <w:lang w:bidi="ru-RU"/>
        </w:rPr>
        <w:t>Число врачей (молодой специалист) / 10 000 * Общая численность населения АСГО.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rFonts w:cs="Times New Roman" w:ascii="Times New Roman" w:hAnsi="Times New Roman"/>
          <w:i w:val="false"/>
          <w:iCs w:val="false"/>
          <w:color w:val="000000"/>
          <w:sz w:val="28"/>
          <w:szCs w:val="28"/>
          <w:lang w:eastAsia="ru-RU" w:bidi="ru-RU"/>
        </w:rPr>
        <w:t xml:space="preserve">Источником информации является </w:t>
      </w:r>
      <w:r>
        <w:rPr>
          <w:rFonts w:eastAsia="Source Han Sans CN Regular" w:cs="Lohit Devanagari" w:ascii="Times New Roman" w:hAnsi="Times New Roman"/>
          <w:i w:val="false"/>
          <w:iCs w:val="false"/>
          <w:color w:val="000000"/>
          <w:kern w:val="2"/>
          <w:sz w:val="28"/>
          <w:szCs w:val="28"/>
          <w:lang w:val="ru-RU" w:eastAsia="zh-CN" w:bidi="ru-RU"/>
        </w:rPr>
        <w:t>Государственное автономное учреждение здравохранения Кемеровской области «Анжеро-Судженская городская больница имени А.А. Гороховского</w:t>
      </w:r>
    </w:p>
    <w:p>
      <w:pPr>
        <w:pStyle w:val="ConsPlusNonformat"/>
        <w:widowControl/>
        <w:numPr>
          <w:ilvl w:val="0"/>
          <w:numId w:val="7"/>
        </w:numPr>
        <w:tabs>
          <w:tab w:val="clear" w:pos="709"/>
          <w:tab w:val="center" w:pos="2410" w:leader="none"/>
          <w:tab w:val="center" w:pos="5670" w:leader="none"/>
        </w:tabs>
        <w:spacing w:before="0" w:after="0"/>
        <w:ind w:left="0" w:hanging="0"/>
        <w:contextualSpacing/>
        <w:jc w:val="both"/>
        <w:rPr>
          <w:color w:val="000000"/>
        </w:rPr>
      </w:pPr>
      <w:r>
        <w:rPr>
          <w:color w:val="000000"/>
        </w:rPr>
      </w:r>
    </w:p>
    <w:sectPr>
      <w:headerReference w:type="default" r:id="rId30"/>
      <w:headerReference w:type="first" r:id="rId31"/>
      <w:footerReference w:type="default" r:id="rId32"/>
      <w:footerReference w:type="first" r:id="rId33"/>
      <w:type w:val="nextPage"/>
      <w:pgSz w:w="11906" w:h="16838"/>
      <w:pgMar w:left="1418" w:right="567" w:gutter="0" w:header="709" w:top="766" w:footer="0" w:bottom="1134"/>
      <w:pgNumType w:start="33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roman"/>
    <w:pitch w:val="default"/>
  </w:font>
  <w:font w:name="Arial Narrow">
    <w:charset w:val="01"/>
    <w:family w:val="roman"/>
    <w:pitch w:val="default"/>
  </w:font>
  <w:font w:name="PT Astra Serif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color w:val="000000"/>
        <w:spacing w:val="-5"/>
        <w:szCs w:val="28"/>
        <w:lang w:eastAsia="zh-CN"/>
      </w:rPr>
    </w:pPr>
    <w:r>
      <w:rPr>
        <w:color w:val="000000"/>
        <w:spacing w:val="-5"/>
        <w:szCs w:val="28"/>
        <w:lang w:eastAsia="zh-CN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</w:r>
  </w:p>
  <w:p>
    <w:pPr>
      <w:pStyle w:val="Style49"/>
      <w:rPr>
        <w:szCs w:val="28"/>
      </w:rPr>
    </w:pPr>
    <w:r>
      <w:rPr>
        <w:szCs w:val="28"/>
      </w:rPr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09" w:hanging="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09" w:hanging="0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09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09" w:hanging="0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709" w:hanging="0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709" w:hanging="0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709" w:hanging="0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709" w:hanging="0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709" w:hanging="0"/>
      </w:pPr>
      <w:rPr/>
    </w:lvl>
  </w:abstractNum>
  <w:abstractNum w:abstractNumId="2">
    <w:lvl w:ilvl="0"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1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2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3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4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5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6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7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  <w:lvl w:ilvl="8">
      <w:start w:val="0"/>
      <w:numFmt w:val="bullet"/>
      <w:suff w:val="space"/>
      <w:lvlText w:val="–"/>
      <w:lvlJc w:val="left"/>
      <w:pPr>
        <w:tabs>
          <w:tab w:val="num" w:pos="0"/>
        </w:tabs>
        <w:ind w:left="709" w:hanging="0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0"/>
      </w:pPr>
      <w:rPr>
        <w:rFonts w:ascii="Times New Roman" w:hAnsi="Times New Roman" w:eastAsia="Times New Roman" w:cs="Times New Roman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0" w:hanging="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" w:hanging="0"/>
      </w:pPr>
      <w:rPr>
        <w:rFonts w:eastAsia="Times New Roman"/>
      </w:rPr>
    </w:lvl>
  </w:abstractNum>
  <w:abstractNum w:abstractNumId="4">
    <w:lvl w:ilvl="0">
      <w:numFmt w:val="bullet"/>
      <w:lvlText w:val="·"/>
      <w:lvlJc w:val="left"/>
      <w:pPr>
        <w:tabs>
          <w:tab w:val="num" w:pos="0"/>
        </w:tabs>
        <w:ind w:left="360" w:hanging="0"/>
      </w:pPr>
      <w:rPr>
        <w:rFonts w:ascii="Symbol" w:hAnsi="Symbol" w:cs="Symbol" w:hint="default"/>
      </w:rPr>
    </w:lvl>
    <w:lvl w:ilvl="1">
      <w:start w:val="0"/>
      <w:numFmt w:val="bullet"/>
      <w:lvlText w:val="·"/>
      <w:lvlJc w:val="left"/>
      <w:pPr>
        <w:tabs>
          <w:tab w:val="num" w:pos="0"/>
        </w:tabs>
        <w:ind w:left="720" w:hanging="0"/>
      </w:pPr>
      <w:rPr>
        <w:rFonts w:ascii="Symbol" w:hAnsi="Symbol" w:cs="Symbol" w:hint="default"/>
      </w:rPr>
    </w:lvl>
    <w:lvl w:ilvl="2">
      <w:start w:val="0"/>
      <w:numFmt w:val="bullet"/>
      <w:lvlText w:val="·"/>
      <w:lvlJc w:val="left"/>
      <w:pPr>
        <w:tabs>
          <w:tab w:val="num" w:pos="0"/>
        </w:tabs>
        <w:ind w:left="1080" w:hanging="0"/>
      </w:pPr>
      <w:rPr>
        <w:rFonts w:ascii="Symbol" w:hAnsi="Symbol" w:cs="Symbol" w:hint="default"/>
      </w:rPr>
    </w:lvl>
    <w:lvl w:ilvl="3">
      <w:start w:val="0"/>
      <w:numFmt w:val="bullet"/>
      <w:lvlText w:val="·"/>
      <w:lvlJc w:val="left"/>
      <w:pPr>
        <w:tabs>
          <w:tab w:val="num" w:pos="0"/>
        </w:tabs>
        <w:ind w:left="1440" w:hanging="0"/>
      </w:pPr>
      <w:rPr>
        <w:rFonts w:ascii="Symbol" w:hAnsi="Symbol" w:cs="Symbol" w:hint="default"/>
      </w:rPr>
    </w:lvl>
    <w:lvl w:ilvl="4">
      <w:start w:val="0"/>
      <w:numFmt w:val="bullet"/>
      <w:lvlText w:val="·"/>
      <w:lvlJc w:val="left"/>
      <w:pPr>
        <w:tabs>
          <w:tab w:val="num" w:pos="0"/>
        </w:tabs>
        <w:ind w:left="1800" w:hanging="0"/>
      </w:pPr>
      <w:rPr>
        <w:rFonts w:ascii="Symbol" w:hAnsi="Symbol" w:cs="Symbol" w:hint="default"/>
      </w:rPr>
    </w:lvl>
    <w:lvl w:ilvl="5">
      <w:start w:val="0"/>
      <w:numFmt w:val="bullet"/>
      <w:lvlText w:val="·"/>
      <w:lvlJc w:val="left"/>
      <w:pPr>
        <w:tabs>
          <w:tab w:val="num" w:pos="0"/>
        </w:tabs>
        <w:ind w:left="2160" w:hanging="0"/>
      </w:pPr>
      <w:rPr>
        <w:rFonts w:ascii="Symbol" w:hAnsi="Symbol" w:cs="Symbol" w:hint="default"/>
      </w:rPr>
    </w:lvl>
    <w:lvl w:ilvl="6">
      <w:start w:val="0"/>
      <w:numFmt w:val="bullet"/>
      <w:lvlText w:val="·"/>
      <w:lvlJc w:val="left"/>
      <w:pPr>
        <w:tabs>
          <w:tab w:val="num" w:pos="0"/>
        </w:tabs>
        <w:ind w:left="2520" w:hanging="0"/>
      </w:pPr>
      <w:rPr>
        <w:rFonts w:ascii="Symbol" w:hAnsi="Symbol" w:cs="Symbol" w:hint="default"/>
      </w:rPr>
    </w:lvl>
    <w:lvl w:ilvl="7">
      <w:start w:val="0"/>
      <w:numFmt w:val="bullet"/>
      <w:lvlText w:val="·"/>
      <w:lvlJc w:val="left"/>
      <w:pPr>
        <w:tabs>
          <w:tab w:val="num" w:pos="0"/>
        </w:tabs>
        <w:ind w:left="2880" w:hanging="0"/>
      </w:pPr>
      <w:rPr>
        <w:rFonts w:ascii="Symbol" w:hAnsi="Symbol" w:cs="Symbol" w:hint="default"/>
      </w:rPr>
    </w:lvl>
    <w:lvl w:ilvl="8">
      <w:start w:val="0"/>
      <w:numFmt w:val="bullet"/>
      <w:lvlText w:val="·"/>
      <w:lvlJc w:val="left"/>
      <w:pPr>
        <w:tabs>
          <w:tab w:val="num" w:pos="0"/>
        </w:tabs>
        <w:ind w:left="3240" w:hanging="0"/>
      </w:pPr>
      <w:rPr>
        <w:rFonts w:ascii="Symbol" w:hAnsi="Symbol" w:cs="Symbol" w:hint="default"/>
      </w:rPr>
    </w:lvl>
  </w:abstractNum>
  <w:abstractNum w:abstractNumId="5">
    <w:lvl w:ilvl="0">
      <w:numFmt w:val="bullet"/>
      <w:lvlText w:val="·"/>
      <w:lvlJc w:val="left"/>
      <w:pPr>
        <w:tabs>
          <w:tab w:val="num" w:pos="0"/>
        </w:tabs>
        <w:ind w:left="360" w:hanging="0"/>
      </w:pPr>
      <w:rPr>
        <w:rFonts w:ascii="Symbol" w:hAnsi="Symbol" w:cs="Symbol" w:hint="default"/>
      </w:rPr>
    </w:lvl>
    <w:lvl w:ilvl="1">
      <w:start w:val="0"/>
      <w:numFmt w:val="bullet"/>
      <w:lvlText w:val="·"/>
      <w:lvlJc w:val="left"/>
      <w:pPr>
        <w:tabs>
          <w:tab w:val="num" w:pos="0"/>
        </w:tabs>
        <w:ind w:left="720" w:hanging="0"/>
      </w:pPr>
      <w:rPr>
        <w:rFonts w:ascii="Symbol" w:hAnsi="Symbol" w:cs="Symbol" w:hint="default"/>
      </w:rPr>
    </w:lvl>
    <w:lvl w:ilvl="2">
      <w:start w:val="0"/>
      <w:numFmt w:val="bullet"/>
      <w:lvlText w:val="·"/>
      <w:lvlJc w:val="left"/>
      <w:pPr>
        <w:tabs>
          <w:tab w:val="num" w:pos="0"/>
        </w:tabs>
        <w:ind w:left="1080" w:hanging="0"/>
      </w:pPr>
      <w:rPr>
        <w:rFonts w:ascii="Symbol" w:hAnsi="Symbol" w:cs="Symbol" w:hint="default"/>
      </w:rPr>
    </w:lvl>
    <w:lvl w:ilvl="3">
      <w:start w:val="0"/>
      <w:numFmt w:val="bullet"/>
      <w:lvlText w:val="·"/>
      <w:lvlJc w:val="left"/>
      <w:pPr>
        <w:tabs>
          <w:tab w:val="num" w:pos="0"/>
        </w:tabs>
        <w:ind w:left="1440" w:hanging="0"/>
      </w:pPr>
      <w:rPr>
        <w:rFonts w:ascii="Symbol" w:hAnsi="Symbol" w:cs="Symbol" w:hint="default"/>
      </w:rPr>
    </w:lvl>
    <w:lvl w:ilvl="4">
      <w:start w:val="0"/>
      <w:numFmt w:val="bullet"/>
      <w:lvlText w:val="·"/>
      <w:lvlJc w:val="left"/>
      <w:pPr>
        <w:tabs>
          <w:tab w:val="num" w:pos="0"/>
        </w:tabs>
        <w:ind w:left="1800" w:hanging="0"/>
      </w:pPr>
      <w:rPr>
        <w:rFonts w:ascii="Symbol" w:hAnsi="Symbol" w:cs="Symbol" w:hint="default"/>
      </w:rPr>
    </w:lvl>
    <w:lvl w:ilvl="5">
      <w:start w:val="0"/>
      <w:numFmt w:val="bullet"/>
      <w:lvlText w:val="·"/>
      <w:lvlJc w:val="left"/>
      <w:pPr>
        <w:tabs>
          <w:tab w:val="num" w:pos="0"/>
        </w:tabs>
        <w:ind w:left="2160" w:hanging="0"/>
      </w:pPr>
      <w:rPr>
        <w:rFonts w:ascii="Symbol" w:hAnsi="Symbol" w:cs="Symbol" w:hint="default"/>
      </w:rPr>
    </w:lvl>
    <w:lvl w:ilvl="6">
      <w:start w:val="0"/>
      <w:numFmt w:val="bullet"/>
      <w:lvlText w:val="·"/>
      <w:lvlJc w:val="left"/>
      <w:pPr>
        <w:tabs>
          <w:tab w:val="num" w:pos="0"/>
        </w:tabs>
        <w:ind w:left="2520" w:hanging="0"/>
      </w:pPr>
      <w:rPr>
        <w:rFonts w:ascii="Symbol" w:hAnsi="Symbol" w:cs="Symbol" w:hint="default"/>
      </w:rPr>
    </w:lvl>
    <w:lvl w:ilvl="7">
      <w:start w:val="0"/>
      <w:numFmt w:val="bullet"/>
      <w:lvlText w:val="·"/>
      <w:lvlJc w:val="left"/>
      <w:pPr>
        <w:tabs>
          <w:tab w:val="num" w:pos="0"/>
        </w:tabs>
        <w:ind w:left="2880" w:hanging="0"/>
      </w:pPr>
      <w:rPr>
        <w:rFonts w:ascii="Symbol" w:hAnsi="Symbol" w:cs="Symbol" w:hint="default"/>
      </w:rPr>
    </w:lvl>
    <w:lvl w:ilvl="8">
      <w:start w:val="0"/>
      <w:numFmt w:val="bullet"/>
      <w:lvlText w:val="·"/>
      <w:lvlJc w:val="left"/>
      <w:pPr>
        <w:tabs>
          <w:tab w:val="num" w:pos="0"/>
        </w:tabs>
        <w:ind w:left="3240" w:hanging="0"/>
      </w:pPr>
      <w:rPr>
        <w:rFonts w:ascii="Symbol" w:hAnsi="Symbol" w:cs="Symbol" w:hint="default"/>
      </w:rPr>
    </w:lvl>
  </w:abstractNum>
  <w:abstractNum w:abstractNumId="6">
    <w:lvl w:ilvl="0">
      <w:numFmt w:val="bullet"/>
      <w:lvlText w:val="·"/>
      <w:lvlJc w:val="left"/>
      <w:pPr>
        <w:tabs>
          <w:tab w:val="num" w:pos="0"/>
        </w:tabs>
        <w:ind w:left="360" w:hanging="0"/>
      </w:pPr>
      <w:rPr>
        <w:rFonts w:ascii="Symbol" w:hAnsi="Symbol" w:cs="Symbol" w:hint="default"/>
      </w:rPr>
    </w:lvl>
    <w:lvl w:ilvl="1">
      <w:start w:val="0"/>
      <w:numFmt w:val="bullet"/>
      <w:lvlText w:val="·"/>
      <w:lvlJc w:val="left"/>
      <w:pPr>
        <w:tabs>
          <w:tab w:val="num" w:pos="0"/>
        </w:tabs>
        <w:ind w:left="720" w:hanging="0"/>
      </w:pPr>
      <w:rPr>
        <w:rFonts w:ascii="Symbol" w:hAnsi="Symbol" w:cs="Symbol" w:hint="default"/>
      </w:rPr>
    </w:lvl>
    <w:lvl w:ilvl="2">
      <w:start w:val="0"/>
      <w:numFmt w:val="bullet"/>
      <w:lvlText w:val="·"/>
      <w:lvlJc w:val="left"/>
      <w:pPr>
        <w:tabs>
          <w:tab w:val="num" w:pos="0"/>
        </w:tabs>
        <w:ind w:left="1080" w:hanging="0"/>
      </w:pPr>
      <w:rPr>
        <w:rFonts w:ascii="Symbol" w:hAnsi="Symbol" w:cs="Symbol" w:hint="default"/>
      </w:rPr>
    </w:lvl>
    <w:lvl w:ilvl="3">
      <w:start w:val="0"/>
      <w:numFmt w:val="bullet"/>
      <w:lvlText w:val="·"/>
      <w:lvlJc w:val="left"/>
      <w:pPr>
        <w:tabs>
          <w:tab w:val="num" w:pos="0"/>
        </w:tabs>
        <w:ind w:left="1440" w:hanging="0"/>
      </w:pPr>
      <w:rPr>
        <w:rFonts w:ascii="Symbol" w:hAnsi="Symbol" w:cs="Symbol" w:hint="default"/>
      </w:rPr>
    </w:lvl>
    <w:lvl w:ilvl="4">
      <w:start w:val="0"/>
      <w:numFmt w:val="bullet"/>
      <w:lvlText w:val="·"/>
      <w:lvlJc w:val="left"/>
      <w:pPr>
        <w:tabs>
          <w:tab w:val="num" w:pos="0"/>
        </w:tabs>
        <w:ind w:left="1800" w:hanging="0"/>
      </w:pPr>
      <w:rPr>
        <w:rFonts w:ascii="Symbol" w:hAnsi="Symbol" w:cs="Symbol" w:hint="default"/>
      </w:rPr>
    </w:lvl>
    <w:lvl w:ilvl="5">
      <w:start w:val="0"/>
      <w:numFmt w:val="bullet"/>
      <w:lvlText w:val="·"/>
      <w:lvlJc w:val="left"/>
      <w:pPr>
        <w:tabs>
          <w:tab w:val="num" w:pos="0"/>
        </w:tabs>
        <w:ind w:left="2160" w:hanging="0"/>
      </w:pPr>
      <w:rPr>
        <w:rFonts w:ascii="Symbol" w:hAnsi="Symbol" w:cs="Symbol" w:hint="default"/>
      </w:rPr>
    </w:lvl>
    <w:lvl w:ilvl="6">
      <w:start w:val="0"/>
      <w:numFmt w:val="bullet"/>
      <w:lvlText w:val="·"/>
      <w:lvlJc w:val="left"/>
      <w:pPr>
        <w:tabs>
          <w:tab w:val="num" w:pos="0"/>
        </w:tabs>
        <w:ind w:left="2520" w:hanging="0"/>
      </w:pPr>
      <w:rPr>
        <w:rFonts w:ascii="Symbol" w:hAnsi="Symbol" w:cs="Symbol" w:hint="default"/>
      </w:rPr>
    </w:lvl>
    <w:lvl w:ilvl="7">
      <w:start w:val="0"/>
      <w:numFmt w:val="bullet"/>
      <w:lvlText w:val="·"/>
      <w:lvlJc w:val="left"/>
      <w:pPr>
        <w:tabs>
          <w:tab w:val="num" w:pos="0"/>
        </w:tabs>
        <w:ind w:left="2880" w:hanging="0"/>
      </w:pPr>
      <w:rPr>
        <w:rFonts w:ascii="Symbol" w:hAnsi="Symbol" w:cs="Symbol" w:hint="default"/>
      </w:rPr>
    </w:lvl>
    <w:lvl w:ilvl="8">
      <w:start w:val="0"/>
      <w:numFmt w:val="bullet"/>
      <w:lvlText w:val="·"/>
      <w:lvlJc w:val="left"/>
      <w:pPr>
        <w:tabs>
          <w:tab w:val="num" w:pos="0"/>
        </w:tabs>
        <w:ind w:left="3240" w:hanging="0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5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uiPriority="10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uiPriority="11" w:semiHidden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uiPriority="22" w:semiHidden="0" w:unhideWhenUsed="0" w:qFormat="1"/>
    <w:lsdException w:name="Emphasis" w:uiPriority="20" w:semiHidden="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 w:semiHidden="0" w:unhideWhenUsed="0"/>
    <w:lsdException w:name="Table Theme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Plain Table 1" w:uiPriority="41" w:semiHidden="0" w:unhideWhenUsed="0"/>
    <w:lsdException w:name="Plain Table 2" w:uiPriority="42" w:semiHidden="0" w:unhideWhenUsed="0"/>
    <w:lsdException w:name="Plain Table 3" w:uiPriority="43" w:semiHidden="0" w:unhideWhenUsed="0"/>
    <w:lsdException w:name="Plain Table 4" w:uiPriority="44" w:semiHidden="0" w:unhideWhenUsed="0"/>
    <w:lsdException w:name="Plain Table 5" w:uiPriority="45" w:semiHidden="0" w:unhideWhenUsed="0"/>
    <w:lsdException w:name="Grid Table Light" w:uiPriority="40" w:semiHidden="0" w:unhideWhenUsed="0"/>
    <w:lsdException w:name="Grid Table 1 Light" w:uiPriority="46" w:semiHidden="0" w:unhideWhenUsed="0"/>
    <w:lsdException w:name="Grid Table 2" w:uiPriority="47" w:semiHidden="0" w:unhideWhenUsed="0"/>
    <w:lsdException w:name="Grid Table 3" w:uiPriority="48" w:semiHidden="0" w:unhideWhenUsed="0"/>
    <w:lsdException w:name="Grid Table 4" w:uiPriority="49" w:semiHidden="0" w:unhideWhenUsed="0"/>
    <w:lsdException w:name="Grid Table 5 Dark" w:uiPriority="50" w:semiHidden="0" w:unhideWhenUsed="0"/>
    <w:lsdException w:name="Grid Table 6 Colorful" w:uiPriority="51" w:semiHidden="0" w:unhideWhenUsed="0"/>
    <w:lsdException w:name="Grid Table 7 Colorful" w:uiPriority="52" w:semiHidden="0" w:unhideWhenUsed="0"/>
    <w:lsdException w:name="Grid Table 1 Light Accent 1" w:uiPriority="46" w:semiHidden="0" w:unhideWhenUsed="0"/>
    <w:lsdException w:name="Grid Table 2 Accent 1" w:uiPriority="47" w:semiHidden="0" w:unhideWhenUsed="0"/>
    <w:lsdException w:name="Grid Table 3 Accent 1" w:uiPriority="48" w:semiHidden="0" w:unhideWhenUsed="0"/>
    <w:lsdException w:name="Grid Table 4 Accent 1" w:uiPriority="49" w:semiHidden="0" w:unhideWhenUsed="0"/>
    <w:lsdException w:name="Grid Table 5 Dark Accent 1" w:uiPriority="50" w:semiHidden="0" w:unhideWhenUsed="0"/>
    <w:lsdException w:name="Grid Table 6 Colorful Accent 1" w:uiPriority="51" w:semiHidden="0" w:unhideWhenUsed="0"/>
    <w:lsdException w:name="Grid Table 7 Colorful Accent 1" w:uiPriority="52" w:semiHidden="0" w:unhideWhenUsed="0"/>
    <w:lsdException w:name="Grid Table 1 Light Accent 2" w:uiPriority="46" w:semiHidden="0" w:unhideWhenUsed="0"/>
    <w:lsdException w:name="Grid Table 2 Accent 2" w:uiPriority="47" w:semiHidden="0" w:unhideWhenUsed="0"/>
    <w:lsdException w:name="Grid Table 3 Accent 2" w:uiPriority="48" w:semiHidden="0" w:unhideWhenUsed="0"/>
    <w:lsdException w:name="Grid Table 4 Accent 2" w:uiPriority="49" w:semiHidden="0" w:unhideWhenUsed="0"/>
    <w:lsdException w:name="Grid Table 5 Dark Accent 2" w:uiPriority="50" w:semiHidden="0" w:unhideWhenUsed="0"/>
    <w:lsdException w:name="Grid Table 6 Colorful Accent 2" w:uiPriority="51" w:semiHidden="0" w:unhideWhenUsed="0"/>
    <w:lsdException w:name="Grid Table 7 Colorful Accent 2" w:uiPriority="52" w:semiHidden="0" w:unhideWhenUsed="0"/>
    <w:lsdException w:name="Grid Table 1 Light Accent 3" w:uiPriority="46" w:semiHidden="0" w:unhideWhenUsed="0"/>
    <w:lsdException w:name="Grid Table 2 Accent 3" w:uiPriority="47" w:semiHidden="0" w:unhideWhenUsed="0"/>
    <w:lsdException w:name="Grid Table 3 Accent 3" w:uiPriority="48" w:semiHidden="0" w:unhideWhenUsed="0"/>
    <w:lsdException w:name="Grid Table 4 Accent 3" w:uiPriority="49" w:semiHidden="0" w:unhideWhenUsed="0"/>
    <w:lsdException w:name="Grid Table 5 Dark Accent 3" w:uiPriority="50" w:semiHidden="0" w:unhideWhenUsed="0"/>
    <w:lsdException w:name="Grid Table 6 Colorful Accent 3" w:uiPriority="51" w:semiHidden="0" w:unhideWhenUsed="0"/>
    <w:lsdException w:name="Grid Table 7 Colorful Accent 3" w:uiPriority="52" w:semiHidden="0" w:unhideWhenUsed="0"/>
    <w:lsdException w:name="Grid Table 1 Light Accent 4" w:uiPriority="46" w:semiHidden="0" w:unhideWhenUsed="0"/>
    <w:lsdException w:name="Grid Table 2 Accent 4" w:uiPriority="47" w:semiHidden="0" w:unhideWhenUsed="0"/>
    <w:lsdException w:name="Grid Table 3 Accent 4" w:uiPriority="48" w:semiHidden="0" w:unhideWhenUsed="0"/>
    <w:lsdException w:name="Grid Table 4 Accent 4" w:uiPriority="49" w:semiHidden="0" w:unhideWhenUsed="0"/>
    <w:lsdException w:name="Grid Table 5 Dark Accent 4" w:uiPriority="50" w:semiHidden="0" w:unhideWhenUsed="0"/>
    <w:lsdException w:name="Grid Table 6 Colorful Accent 4" w:uiPriority="51" w:semiHidden="0" w:unhideWhenUsed="0"/>
    <w:lsdException w:name="Grid Table 7 Colorful Accent 4" w:uiPriority="52" w:semiHidden="0" w:unhideWhenUsed="0"/>
    <w:lsdException w:name="Grid Table 1 Light Accent 5" w:uiPriority="46" w:semiHidden="0" w:unhideWhenUsed="0"/>
    <w:lsdException w:name="Grid Table 2 Accent 5" w:uiPriority="47" w:semiHidden="0" w:unhideWhenUsed="0"/>
    <w:lsdException w:name="Grid Table 3 Accent 5" w:uiPriority="48" w:semiHidden="0" w:unhideWhenUsed="0"/>
    <w:lsdException w:name="Grid Table 4 Accent 5" w:uiPriority="49" w:semiHidden="0" w:unhideWhenUsed="0"/>
    <w:lsdException w:name="Grid Table 5 Dark Accent 5" w:uiPriority="50" w:semiHidden="0" w:unhideWhenUsed="0"/>
    <w:lsdException w:name="Grid Table 6 Colorful Accent 5" w:uiPriority="51" w:semiHidden="0" w:unhideWhenUsed="0"/>
    <w:lsdException w:name="Grid Table 7 Colorful Accent 5" w:uiPriority="52" w:semiHidden="0" w:unhideWhenUsed="0"/>
    <w:lsdException w:name="Grid Table 1 Light Accent 6" w:uiPriority="46" w:semiHidden="0" w:unhideWhenUsed="0"/>
    <w:lsdException w:name="Grid Table 2 Accent 6" w:uiPriority="47" w:semiHidden="0" w:unhideWhenUsed="0"/>
    <w:lsdException w:name="Grid Table 3 Accent 6" w:uiPriority="48" w:semiHidden="0" w:unhideWhenUsed="0"/>
    <w:lsdException w:name="Grid Table 4 Accent 6" w:uiPriority="49" w:semiHidden="0" w:unhideWhenUsed="0"/>
    <w:lsdException w:name="Grid Table 5 Dark Accent 6" w:uiPriority="50" w:semiHidden="0" w:unhideWhenUsed="0"/>
    <w:lsdException w:name="Grid Table 6 Colorful Accent 6" w:uiPriority="51" w:semiHidden="0" w:unhideWhenUsed="0"/>
    <w:lsdException w:name="Grid Table 7 Colorful Accent 6" w:uiPriority="52" w:semiHidden="0" w:unhideWhenUsed="0"/>
    <w:lsdException w:name="List Table 1 Light" w:uiPriority="46" w:semiHidden="0" w:unhideWhenUsed="0"/>
    <w:lsdException w:name="List Table 2" w:uiPriority="47" w:semiHidden="0" w:unhideWhenUsed="0"/>
    <w:lsdException w:name="List Table 3" w:uiPriority="48" w:semiHidden="0" w:unhideWhenUsed="0"/>
    <w:lsdException w:name="List Table 4" w:uiPriority="49" w:semiHidden="0" w:unhideWhenUsed="0"/>
    <w:lsdException w:name="List Table 5 Dark" w:uiPriority="50" w:semiHidden="0" w:unhideWhenUsed="0"/>
    <w:lsdException w:name="List Table 6 Colorful" w:uiPriority="51" w:semiHidden="0" w:unhideWhenUsed="0"/>
    <w:lsdException w:name="List Table 7 Colorful" w:uiPriority="52" w:semiHidden="0" w:unhideWhenUsed="0"/>
    <w:lsdException w:name="List Table 1 Light Accent 1" w:uiPriority="46" w:semiHidden="0" w:unhideWhenUsed="0"/>
    <w:lsdException w:name="List Table 2 Accent 1" w:uiPriority="47" w:semiHidden="0" w:unhideWhenUsed="0"/>
    <w:lsdException w:name="List Table 3 Accent 1" w:uiPriority="48" w:semiHidden="0" w:unhideWhenUsed="0"/>
    <w:lsdException w:name="List Table 4 Accent 1" w:uiPriority="49" w:semiHidden="0" w:unhideWhenUsed="0"/>
    <w:lsdException w:name="List Table 5 Dark Accent 1" w:uiPriority="50" w:semiHidden="0" w:unhideWhenUsed="0"/>
    <w:lsdException w:name="List Table 6 Colorful Accent 1" w:uiPriority="51" w:semiHidden="0" w:unhideWhenUsed="0"/>
    <w:lsdException w:name="List Table 7 Colorful Accent 1" w:uiPriority="52" w:semiHidden="0" w:unhideWhenUsed="0"/>
    <w:lsdException w:name="List Table 1 Light Accent 2" w:uiPriority="46" w:semiHidden="0" w:unhideWhenUsed="0"/>
    <w:lsdException w:name="List Table 2 Accent 2" w:uiPriority="47" w:semiHidden="0" w:unhideWhenUsed="0"/>
    <w:lsdException w:name="List Table 3 Accent 2" w:uiPriority="48" w:semiHidden="0" w:unhideWhenUsed="0"/>
    <w:lsdException w:name="List Table 4 Accent 2" w:uiPriority="49" w:semiHidden="0" w:unhideWhenUsed="0"/>
    <w:lsdException w:name="List Table 5 Dark Accent 2" w:uiPriority="50" w:semiHidden="0" w:unhideWhenUsed="0"/>
    <w:lsdException w:name="List Table 6 Colorful Accent 2" w:uiPriority="51" w:semiHidden="0" w:unhideWhenUsed="0"/>
    <w:lsdException w:name="List Table 7 Colorful Accent 2" w:uiPriority="52" w:semiHidden="0" w:unhideWhenUsed="0"/>
    <w:lsdException w:name="List Table 1 Light Accent 3" w:uiPriority="46" w:semiHidden="0" w:unhideWhenUsed="0"/>
    <w:lsdException w:name="List Table 2 Accent 3" w:uiPriority="47" w:semiHidden="0" w:unhideWhenUsed="0"/>
    <w:lsdException w:name="List Table 3 Accent 3" w:uiPriority="48" w:semiHidden="0" w:unhideWhenUsed="0"/>
    <w:lsdException w:name="List Table 4 Accent 3" w:uiPriority="49" w:semiHidden="0" w:unhideWhenUsed="0"/>
    <w:lsdException w:name="List Table 5 Dark Accent 3" w:uiPriority="50" w:semiHidden="0" w:unhideWhenUsed="0"/>
    <w:lsdException w:name="List Table 6 Colorful Accent 3" w:uiPriority="51" w:semiHidden="0" w:unhideWhenUsed="0"/>
    <w:lsdException w:name="List Table 7 Colorful Accent 3" w:uiPriority="52" w:semiHidden="0" w:unhideWhenUsed="0"/>
    <w:lsdException w:name="List Table 1 Light Accent 4" w:uiPriority="46" w:semiHidden="0" w:unhideWhenUsed="0"/>
    <w:lsdException w:name="List Table 2 Accent 4" w:uiPriority="47" w:semiHidden="0" w:unhideWhenUsed="0"/>
    <w:lsdException w:name="List Table 3 Accent 4" w:uiPriority="48" w:semiHidden="0" w:unhideWhenUsed="0"/>
    <w:lsdException w:name="List Table 4 Accent 4" w:uiPriority="49" w:semiHidden="0" w:unhideWhenUsed="0"/>
    <w:lsdException w:name="List Table 5 Dark Accent 4" w:uiPriority="50" w:semiHidden="0" w:unhideWhenUsed="0"/>
    <w:lsdException w:name="List Table 6 Colorful Accent 4" w:uiPriority="51" w:semiHidden="0" w:unhideWhenUsed="0"/>
    <w:lsdException w:name="List Table 7 Colorful Accent 4" w:uiPriority="52" w:semiHidden="0" w:unhideWhenUsed="0"/>
    <w:lsdException w:name="List Table 1 Light Accent 5" w:uiPriority="46" w:semiHidden="0" w:unhideWhenUsed="0"/>
    <w:lsdException w:name="List Table 2 Accent 5" w:uiPriority="47" w:semiHidden="0" w:unhideWhenUsed="0"/>
    <w:lsdException w:name="List Table 3 Accent 5" w:uiPriority="48" w:semiHidden="0" w:unhideWhenUsed="0"/>
    <w:lsdException w:name="List Table 4 Accent 5" w:uiPriority="49" w:semiHidden="0" w:unhideWhenUsed="0"/>
    <w:lsdException w:name="List Table 5 Dark Accent 5" w:uiPriority="50" w:semiHidden="0" w:unhideWhenUsed="0"/>
    <w:lsdException w:name="List Table 6 Colorful Accent 5" w:uiPriority="51" w:semiHidden="0" w:unhideWhenUsed="0"/>
    <w:lsdException w:name="List Table 7 Colorful Accent 5" w:uiPriority="52" w:semiHidden="0" w:unhideWhenUsed="0"/>
    <w:lsdException w:name="List Table 1 Light Accent 6" w:uiPriority="46" w:semiHidden="0" w:unhideWhenUsed="0"/>
    <w:lsdException w:name="List Table 2 Accent 6" w:uiPriority="47" w:semiHidden="0" w:unhideWhenUsed="0"/>
    <w:lsdException w:name="List Table 3 Accent 6" w:uiPriority="48" w:semiHidden="0" w:unhideWhenUsed="0"/>
    <w:lsdException w:name="List Table 4 Accent 6" w:uiPriority="49" w:semiHidden="0" w:unhideWhenUsed="0"/>
    <w:lsdException w:name="List Table 5 Dark Accent 6" w:uiPriority="50" w:semiHidden="0" w:unhideWhenUsed="0"/>
    <w:lsdException w:name="List Table 6 Colorful Accent 6" w:uiPriority="51" w:semiHidden="0" w:unhideWhenUsed="0"/>
    <w:lsdException w:name="List Table 7 Colorful Accent 6" w:uiPriority="52" w:semiHidden="0" w:unhideWhenUsed="0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9"/>
    <w:qFormat/>
    <w:pPr>
      <w:outlineLvl w:val="0"/>
    </w:pPr>
    <w:rPr/>
  </w:style>
  <w:style w:type="paragraph" w:styleId="2">
    <w:name w:val="Heading 2"/>
    <w:basedOn w:val="Style29"/>
    <w:next w:val="Style30"/>
    <w:qFormat/>
    <w:pPr>
      <w:outlineLvl w:val="1"/>
    </w:pPr>
    <w:rPr/>
  </w:style>
  <w:style w:type="paragraph" w:styleId="3">
    <w:name w:val="Heading 3"/>
    <w:basedOn w:val="Style29"/>
    <w:next w:val="Style30"/>
    <w:qFormat/>
    <w:pPr>
      <w:outlineLvl w:val="2"/>
    </w:pPr>
    <w:rPr/>
  </w:style>
  <w:style w:type="paragraph" w:styleId="4">
    <w:name w:val="Heading 4"/>
    <w:basedOn w:val="Style29"/>
    <w:next w:val="Style30"/>
    <w:qFormat/>
    <w:pPr/>
    <w:rPr/>
  </w:style>
  <w:style w:type="paragraph" w:styleId="5">
    <w:name w:val="Heading 5"/>
    <w:basedOn w:val="Style29"/>
    <w:next w:val="Style30"/>
    <w:qFormat/>
    <w:pPr/>
    <w:rPr/>
  </w:style>
  <w:style w:type="paragraph" w:styleId="6">
    <w:name w:val="Heading 6"/>
    <w:basedOn w:val="Style29"/>
    <w:next w:val="Style30"/>
    <w:qFormat/>
    <w:pPr/>
    <w:rPr/>
  </w:style>
  <w:style w:type="paragraph" w:styleId="7">
    <w:name w:val="Heading 7"/>
    <w:basedOn w:val="Style29"/>
    <w:next w:val="Style30"/>
    <w:qFormat/>
    <w:pPr/>
    <w:rPr/>
  </w:style>
  <w:style w:type="paragraph" w:styleId="8">
    <w:name w:val="Heading 8"/>
    <w:basedOn w:val="Style29"/>
    <w:next w:val="Style30"/>
    <w:qFormat/>
    <w:pPr/>
    <w:rPr/>
  </w:style>
  <w:style w:type="paragraph" w:styleId="9">
    <w:name w:val="Heading 9"/>
    <w:basedOn w:val="Style29"/>
    <w:next w:val="Style30"/>
    <w:qFormat/>
    <w:pPr/>
    <w:rPr/>
  </w:style>
  <w:style w:type="character" w:styleId="DefaultParagraphFont" w:default="1">
    <w:name w:val="Default Paragraph Font"/>
    <w:qFormat/>
    <w:rPr/>
  </w:style>
  <w:style w:type="character" w:styleId="Style5" w:customStyle="1">
    <w:name w:val="Символ нумерации"/>
    <w:qFormat/>
    <w:rPr/>
  </w:style>
  <w:style w:type="character" w:styleId="Style6" w:customStyle="1">
    <w:name w:val="Маркеры"/>
    <w:qFormat/>
    <w:rPr>
      <w:rFonts w:ascii="OpenSymbol" w:hAnsi="OpenSymbol" w:eastAsia="OpenSymbol" w:cs="OpenSymbol"/>
    </w:rPr>
  </w:style>
  <w:style w:type="character" w:styleId="Style7" w:customStyle="1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 w:customStyle="1">
    <w:name w:val="Символы названия"/>
    <w:qFormat/>
    <w:rPr/>
  </w:style>
  <w:style w:type="character" w:styleId="Style11" w:customStyle="1">
    <w:name w:val="Буквица"/>
    <w:qFormat/>
    <w:rPr/>
  </w:style>
  <w:style w:type="character" w:styleId="-">
    <w:name w:val="Hyperlink"/>
    <w:rPr>
      <w:color w:val="000080"/>
      <w:u w:val="single" w:color="FFFFFF"/>
    </w:rPr>
  </w:style>
  <w:style w:type="character" w:styleId="Style12">
    <w:name w:val="FollowedHyperlink"/>
    <w:rPr>
      <w:color w:val="800000"/>
      <w:u w:val="single" w:color="FFFFFF"/>
    </w:rPr>
  </w:style>
  <w:style w:type="character" w:styleId="Style13" w:customStyle="1">
    <w:name w:val="Заполнитель"/>
    <w:qFormat/>
    <w:rPr>
      <w:smallCaps/>
      <w:color w:val="008080"/>
      <w:u w:val="dotted" w:color="FFFFFF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 w:customStyle="1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 w:customStyle="1">
    <w:name w:val="Фуригана"/>
    <w:qFormat/>
    <w:rPr>
      <w:sz w:val="12"/>
      <w:szCs w:val="12"/>
      <w:u w:val="none" w:color="FFFFFF"/>
    </w:rPr>
  </w:style>
  <w:style w:type="character" w:styleId="Style20" w:customStyle="1">
    <w:name w:val="Вертикальное направление символов"/>
    <w:qFormat/>
    <w:rPr/>
  </w:style>
  <w:style w:type="character" w:styleId="Style21">
    <w:name w:val="Emphasis"/>
    <w:qFormat/>
    <w:rPr>
      <w:i/>
      <w:iCs/>
    </w:rPr>
  </w:style>
  <w:style w:type="character" w:styleId="Style22" w:customStyle="1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 w:customStyle="1">
    <w:name w:val="Исходный текст"/>
    <w:qFormat/>
    <w:rPr>
      <w:rFonts w:ascii="Liberation Mono" w:hAnsi="Liberation Mono" w:eastAsia="Liberation Mono" w:cs="Liberation Mono"/>
    </w:rPr>
  </w:style>
  <w:style w:type="character" w:styleId="Style24" w:customStyle="1">
    <w:name w:val="Пример"/>
    <w:qFormat/>
    <w:rPr>
      <w:rFonts w:ascii="Liberation Mono" w:hAnsi="Liberation Mono" w:eastAsia="Liberation Mono" w:cs="Liberation Mono"/>
    </w:rPr>
  </w:style>
  <w:style w:type="character" w:styleId="Style25" w:customStyle="1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 w:customStyle="1">
    <w:name w:val="Переменная"/>
    <w:qFormat/>
    <w:rPr>
      <w:i/>
      <w:iCs/>
    </w:rPr>
  </w:style>
  <w:style w:type="character" w:styleId="Style27" w:customStyle="1">
    <w:name w:val="Определение"/>
    <w:qFormat/>
    <w:rPr/>
  </w:style>
  <w:style w:type="character" w:styleId="Style28" w:customStyle="1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WW8Num4z0" w:customStyle="1">
    <w:name w:val="WW8Num4z0"/>
    <w:qFormat/>
    <w:rPr>
      <w:sz w:val="24"/>
      <w:szCs w:val="24"/>
    </w:rPr>
  </w:style>
  <w:style w:type="character" w:styleId="WW8Num16z0" w:customStyle="1">
    <w:name w:val="WW8Num16z0"/>
    <w:qFormat/>
    <w:rPr>
      <w:b/>
      <w:i/>
    </w:rPr>
  </w:style>
  <w:style w:type="character" w:styleId="WW8Num5z0" w:customStyle="1">
    <w:name w:val="WW8Num5z0"/>
    <w:qFormat/>
    <w:rPr>
      <w:strike w:val="false"/>
      <w:dstrike w:val="false"/>
    </w:rPr>
  </w:style>
  <w:style w:type="paragraph" w:styleId="Style29" w:customStyle="1">
    <w:name w:val="Заголовок"/>
    <w:basedOn w:val="Normal"/>
    <w:next w:val="Style39"/>
    <w:qFormat/>
    <w:pPr/>
    <w:rPr>
      <w:b/>
    </w:rPr>
  </w:style>
  <w:style w:type="paragraph" w:styleId="Style30">
    <w:name w:val="Body Text"/>
    <w:basedOn w:val="Normal"/>
    <w:qFormat/>
    <w:pPr>
      <w:jc w:val="both"/>
    </w:pPr>
    <w:rPr/>
  </w:style>
  <w:style w:type="paragraph" w:styleId="Style31">
    <w:name w:val="List"/>
    <w:basedOn w:val="Style30"/>
    <w:qFormat/>
    <w:pPr/>
    <w:rPr/>
  </w:style>
  <w:style w:type="paragraph" w:styleId="Style3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34">
    <w:name w:val="Signature"/>
    <w:basedOn w:val="Normal"/>
    <w:qFormat/>
    <w:pPr>
      <w:tabs>
        <w:tab w:val="clear" w:pos="709"/>
        <w:tab w:val="right" w:pos="31748" w:leader="none"/>
      </w:tabs>
      <w:jc w:val="left"/>
    </w:pPr>
    <w:rPr/>
  </w:style>
  <w:style w:type="paragraph" w:styleId="Style35" w:customStyle="1">
    <w:name w:val="Index Heading"/>
    <w:basedOn w:val="Style29"/>
    <w:qFormat/>
    <w:pPr/>
    <w:rPr/>
  </w:style>
  <w:style w:type="paragraph" w:styleId="Style36" w:customStyle="1">
    <w:name w:val="Блочная цитата"/>
    <w:basedOn w:val="Normal"/>
    <w:qFormat/>
    <w:pPr/>
    <w:rPr/>
  </w:style>
  <w:style w:type="paragraph" w:styleId="Style37">
    <w:name w:val="Title"/>
    <w:basedOn w:val="Normal"/>
    <w:next w:val="Style39"/>
    <w:qFormat/>
    <w:pPr>
      <w:spacing w:before="0" w:after="170"/>
    </w:pPr>
    <w:rPr>
      <w:b/>
    </w:rPr>
  </w:style>
  <w:style w:type="paragraph" w:styleId="Style38">
    <w:name w:val="Subtitle"/>
    <w:basedOn w:val="Normal"/>
    <w:next w:val="Style39"/>
    <w:qFormat/>
    <w:pPr>
      <w:ind w:left="709" w:hanging="0"/>
      <w:jc w:val="both"/>
    </w:pPr>
    <w:rPr>
      <w:b/>
    </w:rPr>
  </w:style>
  <w:style w:type="paragraph" w:styleId="Style39">
    <w:name w:val="Body Text Indent"/>
    <w:basedOn w:val="Normal"/>
    <w:qFormat/>
    <w:pPr>
      <w:ind w:firstLine="709"/>
      <w:jc w:val="both"/>
    </w:pPr>
    <w:rPr/>
  </w:style>
  <w:style w:type="paragraph" w:styleId="Style40" w:customStyle="1">
    <w:name w:val="Обратный отступ"/>
    <w:basedOn w:val="Style30"/>
    <w:qFormat/>
    <w:pPr>
      <w:tabs>
        <w:tab w:val="clear" w:pos="709"/>
        <w:tab w:val="left" w:pos="0" w:leader="none"/>
      </w:tabs>
    </w:pPr>
    <w:rPr/>
  </w:style>
  <w:style w:type="paragraph" w:styleId="Style41">
    <w:name w:val="Salutation"/>
    <w:basedOn w:val="Normal"/>
    <w:qFormat/>
    <w:pPr/>
    <w:rPr/>
  </w:style>
  <w:style w:type="paragraph" w:styleId="Style42" w:customStyle="1">
    <w:name w:val="Отступы"/>
    <w:basedOn w:val="Style30"/>
    <w:qFormat/>
    <w:pPr>
      <w:tabs>
        <w:tab w:val="clear" w:pos="709"/>
        <w:tab w:val="left" w:pos="0" w:leader="none"/>
      </w:tabs>
    </w:pPr>
    <w:rPr/>
  </w:style>
  <w:style w:type="paragraph" w:styleId="AnnotationText" w:customStyle="1">
    <w:name w:val="Annotation Text"/>
    <w:basedOn w:val="Style30"/>
    <w:qFormat/>
    <w:pPr/>
    <w:rPr/>
  </w:style>
  <w:style w:type="paragraph" w:styleId="10" w:customStyle="1">
    <w:name w:val="Заголовок 10"/>
    <w:basedOn w:val="Style29"/>
    <w:next w:val="Style30"/>
    <w:qFormat/>
    <w:pPr/>
    <w:rPr/>
  </w:style>
  <w:style w:type="paragraph" w:styleId="11" w:customStyle="1">
    <w:name w:val="Нумерованный 1 начало"/>
    <w:basedOn w:val="Style31"/>
    <w:next w:val="ListBullet4"/>
    <w:qFormat/>
    <w:pPr/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ind w:left="0" w:hanging="0"/>
    </w:pPr>
    <w:rPr/>
  </w:style>
  <w:style w:type="paragraph" w:styleId="12" w:customStyle="1">
    <w:name w:val="Нумерованный 1 конец"/>
    <w:basedOn w:val="Style31"/>
    <w:next w:val="ListBullet4"/>
    <w:qFormat/>
    <w:pPr/>
    <w:rPr/>
  </w:style>
  <w:style w:type="paragraph" w:styleId="13" w:customStyle="1">
    <w:name w:val="Нумерованный 1 прод."/>
    <w:basedOn w:val="Style31"/>
    <w:qFormat/>
    <w:pPr/>
    <w:rPr/>
  </w:style>
  <w:style w:type="paragraph" w:styleId="21" w:customStyle="1">
    <w:name w:val="Нумерованный 2 начало"/>
    <w:basedOn w:val="Style31"/>
    <w:next w:val="ListNumber2"/>
    <w:qFormat/>
    <w:pPr/>
    <w:rPr/>
  </w:style>
  <w:style w:type="paragraph" w:styleId="ListNumber2">
    <w:name w:val="List Number 2"/>
    <w:basedOn w:val="Style31"/>
    <w:qFormat/>
    <w:pPr/>
    <w:rPr/>
  </w:style>
  <w:style w:type="paragraph" w:styleId="22" w:customStyle="1">
    <w:name w:val="Нумерованный 2 конец"/>
    <w:basedOn w:val="Style31"/>
    <w:next w:val="ListNumber2"/>
    <w:qFormat/>
    <w:pPr/>
    <w:rPr/>
  </w:style>
  <w:style w:type="paragraph" w:styleId="23" w:customStyle="1">
    <w:name w:val="Нумерованный 2 прод."/>
    <w:basedOn w:val="Style31"/>
    <w:qFormat/>
    <w:pPr/>
    <w:rPr/>
  </w:style>
  <w:style w:type="paragraph" w:styleId="31" w:customStyle="1">
    <w:name w:val="Нумерованный 3 начало"/>
    <w:basedOn w:val="Style31"/>
    <w:next w:val="ListNumber3"/>
    <w:qFormat/>
    <w:pPr/>
    <w:rPr/>
  </w:style>
  <w:style w:type="paragraph" w:styleId="ListNumber3">
    <w:name w:val="List Number 3"/>
    <w:basedOn w:val="Style31"/>
    <w:qFormat/>
    <w:pPr/>
    <w:rPr/>
  </w:style>
  <w:style w:type="paragraph" w:styleId="32" w:customStyle="1">
    <w:name w:val="Нумерованный 3 конец"/>
    <w:basedOn w:val="Style31"/>
    <w:next w:val="ListNumber3"/>
    <w:qFormat/>
    <w:pPr/>
    <w:rPr/>
  </w:style>
  <w:style w:type="paragraph" w:styleId="33" w:customStyle="1">
    <w:name w:val="Нумерованный 3 прод."/>
    <w:basedOn w:val="Style31"/>
    <w:qFormat/>
    <w:pPr/>
    <w:rPr/>
  </w:style>
  <w:style w:type="paragraph" w:styleId="41" w:customStyle="1">
    <w:name w:val="Нумерованный 4 начало"/>
    <w:basedOn w:val="Style31"/>
    <w:next w:val="ListNumber4"/>
    <w:qFormat/>
    <w:pPr/>
    <w:rPr/>
  </w:style>
  <w:style w:type="paragraph" w:styleId="ListNumber4">
    <w:name w:val="List Number 4"/>
    <w:basedOn w:val="Style31"/>
    <w:qFormat/>
    <w:pPr/>
    <w:rPr/>
  </w:style>
  <w:style w:type="paragraph" w:styleId="42" w:customStyle="1">
    <w:name w:val="Нумерованный 4 конец"/>
    <w:basedOn w:val="Style31"/>
    <w:next w:val="ListNumber4"/>
    <w:qFormat/>
    <w:pPr/>
    <w:rPr/>
  </w:style>
  <w:style w:type="paragraph" w:styleId="43" w:customStyle="1">
    <w:name w:val="Нумерованный 4 прод."/>
    <w:basedOn w:val="Style31"/>
    <w:qFormat/>
    <w:pPr/>
    <w:rPr/>
  </w:style>
  <w:style w:type="paragraph" w:styleId="51" w:customStyle="1">
    <w:name w:val="Нумерованный 5 начало"/>
    <w:basedOn w:val="Style31"/>
    <w:next w:val="ListNumber5"/>
    <w:qFormat/>
    <w:pPr/>
    <w:rPr/>
  </w:style>
  <w:style w:type="paragraph" w:styleId="ListNumber5">
    <w:name w:val="List Number 5"/>
    <w:basedOn w:val="Style31"/>
    <w:qFormat/>
    <w:pPr/>
    <w:rPr/>
  </w:style>
  <w:style w:type="paragraph" w:styleId="52" w:customStyle="1">
    <w:name w:val="Нумерованный 5 конец"/>
    <w:basedOn w:val="Style31"/>
    <w:next w:val="ListNumber5"/>
    <w:qFormat/>
    <w:pPr/>
    <w:rPr/>
  </w:style>
  <w:style w:type="paragraph" w:styleId="53" w:customStyle="1">
    <w:name w:val="Нумерованный 5 прод."/>
    <w:basedOn w:val="Style31"/>
    <w:qFormat/>
    <w:pPr/>
    <w:rPr/>
  </w:style>
  <w:style w:type="paragraph" w:styleId="14" w:customStyle="1">
    <w:name w:val="Список 1 начало"/>
    <w:basedOn w:val="Style31"/>
    <w:next w:val="ListBullet3"/>
    <w:qFormat/>
    <w:pPr/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ind w:left="0" w:hanging="0"/>
    </w:pPr>
    <w:rPr/>
  </w:style>
  <w:style w:type="paragraph" w:styleId="15" w:customStyle="1">
    <w:name w:val="Список 1 конец"/>
    <w:basedOn w:val="Style31"/>
    <w:next w:val="ListBullet3"/>
    <w:qFormat/>
    <w:pPr/>
    <w:rPr/>
  </w:style>
  <w:style w:type="paragraph" w:styleId="ListContinue">
    <w:name w:val="List Continue"/>
    <w:basedOn w:val="Style31"/>
    <w:qFormat/>
    <w:pPr/>
    <w:rPr/>
  </w:style>
  <w:style w:type="paragraph" w:styleId="24" w:customStyle="1">
    <w:name w:val="Список 2 начало"/>
    <w:basedOn w:val="Style31"/>
    <w:next w:val="ListBullet3"/>
    <w:qFormat/>
    <w:pPr/>
    <w:rPr/>
  </w:style>
  <w:style w:type="paragraph" w:styleId="25" w:customStyle="1">
    <w:name w:val="Список 2 конец"/>
    <w:basedOn w:val="Style31"/>
    <w:next w:val="ListBullet3"/>
    <w:qFormat/>
    <w:pPr/>
    <w:rPr/>
  </w:style>
  <w:style w:type="paragraph" w:styleId="ListContinue2">
    <w:name w:val="List Continue 2"/>
    <w:basedOn w:val="Style31"/>
    <w:qFormat/>
    <w:pPr/>
    <w:rPr/>
  </w:style>
  <w:style w:type="paragraph" w:styleId="34" w:customStyle="1">
    <w:name w:val="Список 3 начало"/>
    <w:basedOn w:val="Style31"/>
    <w:next w:val="ListBullet4"/>
    <w:qFormat/>
    <w:pPr/>
    <w:rPr/>
  </w:style>
  <w:style w:type="paragraph" w:styleId="35" w:customStyle="1">
    <w:name w:val="Список 3 конец"/>
    <w:basedOn w:val="Style31"/>
    <w:next w:val="ListBullet4"/>
    <w:qFormat/>
    <w:pPr/>
    <w:rPr/>
  </w:style>
  <w:style w:type="paragraph" w:styleId="ListContinue3">
    <w:name w:val="List Continue 3"/>
    <w:basedOn w:val="Style31"/>
    <w:qFormat/>
    <w:pPr/>
    <w:rPr/>
  </w:style>
  <w:style w:type="paragraph" w:styleId="44" w:customStyle="1">
    <w:name w:val="Список 4 начало"/>
    <w:basedOn w:val="Style31"/>
    <w:next w:val="ListBullet5"/>
    <w:qFormat/>
    <w:pPr/>
    <w:rPr/>
  </w:style>
  <w:style w:type="paragraph" w:styleId="ListBullet5">
    <w:name w:val="List Bullet 5"/>
    <w:basedOn w:val="Style31"/>
    <w:qFormat/>
    <w:pPr/>
    <w:rPr/>
  </w:style>
  <w:style w:type="paragraph" w:styleId="45" w:customStyle="1">
    <w:name w:val="Список 4 конец"/>
    <w:basedOn w:val="Style31"/>
    <w:next w:val="ListBullet5"/>
    <w:qFormat/>
    <w:pPr/>
    <w:rPr/>
  </w:style>
  <w:style w:type="paragraph" w:styleId="ListContinue4">
    <w:name w:val="List Continue 4"/>
    <w:basedOn w:val="Style31"/>
    <w:qFormat/>
    <w:pPr/>
    <w:rPr/>
  </w:style>
  <w:style w:type="paragraph" w:styleId="54" w:customStyle="1">
    <w:name w:val="Список 5 начало"/>
    <w:basedOn w:val="Style31"/>
    <w:next w:val="ListNumber"/>
    <w:qFormat/>
    <w:pPr/>
    <w:rPr/>
  </w:style>
  <w:style w:type="paragraph" w:styleId="ListNumber">
    <w:name w:val="List Number"/>
    <w:basedOn w:val="Style31"/>
    <w:qFormat/>
    <w:pPr/>
    <w:rPr/>
  </w:style>
  <w:style w:type="paragraph" w:styleId="55" w:customStyle="1">
    <w:name w:val="Список 5 конец"/>
    <w:basedOn w:val="Style31"/>
    <w:next w:val="ListNumber"/>
    <w:qFormat/>
    <w:pPr/>
    <w:rPr/>
  </w:style>
  <w:style w:type="paragraph" w:styleId="ListContinue5">
    <w:name w:val="List Continue 5"/>
    <w:basedOn w:val="Style31"/>
    <w:qFormat/>
    <w:pPr/>
    <w:rPr/>
  </w:style>
  <w:style w:type="paragraph" w:styleId="Index1">
    <w:name w:val="index 1"/>
    <w:basedOn w:val="Style35"/>
    <w:qFormat/>
    <w:pPr/>
    <w:rPr/>
  </w:style>
  <w:style w:type="paragraph" w:styleId="Index2">
    <w:name w:val="index 2"/>
    <w:basedOn w:val="Style35"/>
    <w:qFormat/>
    <w:pPr/>
    <w:rPr/>
  </w:style>
  <w:style w:type="paragraph" w:styleId="Index3">
    <w:name w:val="index 3"/>
    <w:basedOn w:val="Style35"/>
    <w:qFormat/>
    <w:pPr/>
    <w:rPr/>
  </w:style>
  <w:style w:type="paragraph" w:styleId="Style43" w:customStyle="1">
    <w:name w:val="Разделитель предметного указателя"/>
    <w:basedOn w:val="Style35"/>
    <w:qFormat/>
    <w:pPr/>
    <w:rPr/>
  </w:style>
  <w:style w:type="paragraph" w:styleId="Style44">
    <w:name w:val="TOC Heading"/>
    <w:basedOn w:val="Style29"/>
    <w:next w:val="16"/>
    <w:qFormat/>
    <w:pPr/>
    <w:rPr/>
  </w:style>
  <w:style w:type="paragraph" w:styleId="16">
    <w:name w:val="TOC 1"/>
    <w:basedOn w:val="Style35"/>
    <w:qFormat/>
    <w:pPr>
      <w:tabs>
        <w:tab w:val="clear" w:pos="709"/>
        <w:tab w:val="right" w:pos="9638" w:leader="dot"/>
      </w:tabs>
    </w:pPr>
    <w:rPr/>
  </w:style>
  <w:style w:type="paragraph" w:styleId="26">
    <w:name w:val="TOC 2"/>
    <w:basedOn w:val="Style35"/>
    <w:qFormat/>
    <w:pPr>
      <w:tabs>
        <w:tab w:val="clear" w:pos="709"/>
        <w:tab w:val="right" w:pos="9355" w:leader="dot"/>
      </w:tabs>
    </w:pPr>
    <w:rPr/>
  </w:style>
  <w:style w:type="paragraph" w:styleId="36">
    <w:name w:val="TOC 3"/>
    <w:basedOn w:val="Style35"/>
    <w:qFormat/>
    <w:pPr>
      <w:tabs>
        <w:tab w:val="clear" w:pos="709"/>
        <w:tab w:val="right" w:pos="9072" w:leader="dot"/>
      </w:tabs>
    </w:pPr>
    <w:rPr/>
  </w:style>
  <w:style w:type="paragraph" w:styleId="46">
    <w:name w:val="TOC 4"/>
    <w:basedOn w:val="Style35"/>
    <w:qFormat/>
    <w:pPr>
      <w:tabs>
        <w:tab w:val="clear" w:pos="709"/>
        <w:tab w:val="right" w:pos="8789" w:leader="dot"/>
      </w:tabs>
    </w:pPr>
    <w:rPr/>
  </w:style>
  <w:style w:type="paragraph" w:styleId="56">
    <w:name w:val="TOC 5"/>
    <w:basedOn w:val="Style35"/>
    <w:qFormat/>
    <w:pPr>
      <w:tabs>
        <w:tab w:val="clear" w:pos="709"/>
        <w:tab w:val="right" w:pos="8506" w:leader="dot"/>
      </w:tabs>
    </w:pPr>
    <w:rPr/>
  </w:style>
  <w:style w:type="paragraph" w:styleId="Style45" w:customStyle="1">
    <w:name w:val="Заголовок указателей пользователя"/>
    <w:basedOn w:val="Style29"/>
    <w:qFormat/>
    <w:pPr/>
    <w:rPr/>
  </w:style>
  <w:style w:type="paragraph" w:styleId="17" w:customStyle="1">
    <w:name w:val="Указатель пользователя 1"/>
    <w:basedOn w:val="Style35"/>
    <w:qFormat/>
    <w:pPr>
      <w:tabs>
        <w:tab w:val="clear" w:pos="709"/>
        <w:tab w:val="right" w:pos="9638" w:leader="dot"/>
      </w:tabs>
    </w:pPr>
    <w:rPr/>
  </w:style>
  <w:style w:type="paragraph" w:styleId="27" w:customStyle="1">
    <w:name w:val="Указатель пользователя 2"/>
    <w:basedOn w:val="Style35"/>
    <w:qFormat/>
    <w:pPr>
      <w:tabs>
        <w:tab w:val="clear" w:pos="709"/>
        <w:tab w:val="right" w:pos="9355" w:leader="dot"/>
      </w:tabs>
    </w:pPr>
    <w:rPr/>
  </w:style>
  <w:style w:type="paragraph" w:styleId="37" w:customStyle="1">
    <w:name w:val="Указатель пользователя 3"/>
    <w:basedOn w:val="Style35"/>
    <w:qFormat/>
    <w:pPr>
      <w:tabs>
        <w:tab w:val="clear" w:pos="709"/>
        <w:tab w:val="right" w:pos="9072" w:leader="dot"/>
      </w:tabs>
    </w:pPr>
    <w:rPr/>
  </w:style>
  <w:style w:type="paragraph" w:styleId="47" w:customStyle="1">
    <w:name w:val="Указатель пользователя 4"/>
    <w:basedOn w:val="Style35"/>
    <w:qFormat/>
    <w:pPr>
      <w:tabs>
        <w:tab w:val="clear" w:pos="709"/>
        <w:tab w:val="right" w:pos="8789" w:leader="dot"/>
      </w:tabs>
    </w:pPr>
    <w:rPr/>
  </w:style>
  <w:style w:type="paragraph" w:styleId="57" w:customStyle="1">
    <w:name w:val="Указатель пользователя 5"/>
    <w:basedOn w:val="Style35"/>
    <w:qFormat/>
    <w:pPr>
      <w:tabs>
        <w:tab w:val="clear" w:pos="709"/>
        <w:tab w:val="right" w:pos="8506" w:leader="dot"/>
      </w:tabs>
    </w:pPr>
    <w:rPr/>
  </w:style>
  <w:style w:type="paragraph" w:styleId="61">
    <w:name w:val="TOC 6"/>
    <w:basedOn w:val="Style35"/>
    <w:qFormat/>
    <w:pPr>
      <w:tabs>
        <w:tab w:val="clear" w:pos="709"/>
        <w:tab w:val="right" w:pos="8223" w:leader="dot"/>
      </w:tabs>
    </w:pPr>
    <w:rPr/>
  </w:style>
  <w:style w:type="paragraph" w:styleId="71">
    <w:name w:val="TOC 7"/>
    <w:basedOn w:val="Style35"/>
    <w:qFormat/>
    <w:pPr>
      <w:tabs>
        <w:tab w:val="clear" w:pos="709"/>
        <w:tab w:val="right" w:pos="7940" w:leader="dot"/>
      </w:tabs>
    </w:pPr>
    <w:rPr/>
  </w:style>
  <w:style w:type="paragraph" w:styleId="81">
    <w:name w:val="TOC 8"/>
    <w:basedOn w:val="Style35"/>
    <w:qFormat/>
    <w:pPr>
      <w:tabs>
        <w:tab w:val="clear" w:pos="709"/>
        <w:tab w:val="right" w:pos="7657" w:leader="dot"/>
      </w:tabs>
    </w:pPr>
    <w:rPr/>
  </w:style>
  <w:style w:type="paragraph" w:styleId="91">
    <w:name w:val="TOC 9"/>
    <w:basedOn w:val="Style35"/>
    <w:qFormat/>
    <w:pPr>
      <w:tabs>
        <w:tab w:val="clear" w:pos="709"/>
        <w:tab w:val="right" w:pos="7374" w:leader="dot"/>
      </w:tabs>
    </w:pPr>
    <w:rPr/>
  </w:style>
  <w:style w:type="paragraph" w:styleId="101" w:customStyle="1">
    <w:name w:val="Оглавление 10"/>
    <w:basedOn w:val="Style35"/>
    <w:qFormat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Style35"/>
    <w:qFormat/>
    <w:pPr>
      <w:tabs>
        <w:tab w:val="clear" w:pos="709"/>
        <w:tab w:val="right" w:pos="9638" w:leader="dot"/>
      </w:tabs>
    </w:pPr>
    <w:rPr/>
  </w:style>
  <w:style w:type="paragraph" w:styleId="Style46" w:customStyle="1">
    <w:name w:val="Заголовок списка объектов"/>
    <w:basedOn w:val="Style29"/>
    <w:qFormat/>
    <w:pPr/>
    <w:rPr/>
  </w:style>
  <w:style w:type="paragraph" w:styleId="18" w:customStyle="1">
    <w:name w:val="Список объектов 1"/>
    <w:basedOn w:val="Style35"/>
    <w:qFormat/>
    <w:pPr>
      <w:tabs>
        <w:tab w:val="clear" w:pos="709"/>
        <w:tab w:val="right" w:pos="9638" w:leader="dot"/>
      </w:tabs>
    </w:pPr>
    <w:rPr/>
  </w:style>
  <w:style w:type="paragraph" w:styleId="Style47" w:customStyle="1">
    <w:name w:val="Заголовок списка таблиц"/>
    <w:basedOn w:val="Style29"/>
    <w:qFormat/>
    <w:pPr/>
    <w:rPr/>
  </w:style>
  <w:style w:type="paragraph" w:styleId="19" w:customStyle="1">
    <w:name w:val="Список таблиц 1"/>
    <w:basedOn w:val="Style35"/>
    <w:qFormat/>
    <w:pPr>
      <w:tabs>
        <w:tab w:val="clear" w:pos="709"/>
        <w:tab w:val="right" w:pos="9638" w:leader="dot"/>
      </w:tabs>
    </w:pPr>
    <w:rPr/>
  </w:style>
  <w:style w:type="paragraph" w:styleId="TableofAuthorities">
    <w:name w:val="Table of Authorities"/>
    <w:basedOn w:val="Style29"/>
    <w:qFormat/>
    <w:pPr/>
    <w:rPr/>
  </w:style>
  <w:style w:type="paragraph" w:styleId="110" w:customStyle="1">
    <w:name w:val="Библиография 1"/>
    <w:basedOn w:val="Style35"/>
    <w:qFormat/>
    <w:pPr>
      <w:tabs>
        <w:tab w:val="clear" w:pos="709"/>
        <w:tab w:val="right" w:pos="9638" w:leader="dot"/>
      </w:tabs>
    </w:pPr>
    <w:rPr/>
  </w:style>
  <w:style w:type="paragraph" w:styleId="62" w:customStyle="1">
    <w:name w:val="Указатель пользователя 6"/>
    <w:basedOn w:val="Style35"/>
    <w:qFormat/>
    <w:pPr>
      <w:tabs>
        <w:tab w:val="clear" w:pos="709"/>
        <w:tab w:val="right" w:pos="8223" w:leader="dot"/>
      </w:tabs>
    </w:pPr>
    <w:rPr/>
  </w:style>
  <w:style w:type="paragraph" w:styleId="72" w:customStyle="1">
    <w:name w:val="Указатель пользователя 7"/>
    <w:basedOn w:val="Style35"/>
    <w:qFormat/>
    <w:pPr>
      <w:tabs>
        <w:tab w:val="clear" w:pos="709"/>
        <w:tab w:val="right" w:pos="7940" w:leader="dot"/>
      </w:tabs>
    </w:pPr>
    <w:rPr/>
  </w:style>
  <w:style w:type="paragraph" w:styleId="82" w:customStyle="1">
    <w:name w:val="Указатель пользователя 8"/>
    <w:basedOn w:val="Style35"/>
    <w:qFormat/>
    <w:pPr>
      <w:tabs>
        <w:tab w:val="clear" w:pos="709"/>
        <w:tab w:val="right" w:pos="7657" w:leader="dot"/>
      </w:tabs>
    </w:pPr>
    <w:rPr/>
  </w:style>
  <w:style w:type="paragraph" w:styleId="92" w:customStyle="1">
    <w:name w:val="Указатель пользователя 9"/>
    <w:basedOn w:val="Style35"/>
    <w:qFormat/>
    <w:pPr>
      <w:tabs>
        <w:tab w:val="clear" w:pos="709"/>
        <w:tab w:val="right" w:pos="7374" w:leader="dot"/>
      </w:tabs>
    </w:pPr>
    <w:rPr/>
  </w:style>
  <w:style w:type="paragraph" w:styleId="102" w:customStyle="1">
    <w:name w:val="Указатель пользователя 10"/>
    <w:basedOn w:val="Style35"/>
    <w:qFormat/>
    <w:pPr>
      <w:tabs>
        <w:tab w:val="clear" w:pos="709"/>
        <w:tab w:val="right" w:pos="7091" w:leader="dot"/>
      </w:tabs>
    </w:pPr>
    <w:rPr/>
  </w:style>
  <w:style w:type="paragraph" w:styleId="Style48" w:customStyle="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qFormat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0" w:customStyle="1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 w:customStyle="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qFormat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3" w:customStyle="1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 w:customStyle="1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 w:customStyle="1">
    <w:name w:val="Содержимое таблицы"/>
    <w:basedOn w:val="Normal"/>
    <w:qFormat/>
    <w:pPr/>
    <w:rPr/>
  </w:style>
  <w:style w:type="paragraph" w:styleId="Style56" w:customStyle="1">
    <w:name w:val="Заголовок таблицы"/>
    <w:basedOn w:val="Style55"/>
    <w:qFormat/>
    <w:pPr/>
    <w:rPr>
      <w:b/>
    </w:rPr>
  </w:style>
  <w:style w:type="paragraph" w:styleId="Style57" w:customStyle="1">
    <w:name w:val="Иллюстрация"/>
    <w:basedOn w:val="Style34"/>
    <w:qFormat/>
    <w:pPr>
      <w:jc w:val="center"/>
    </w:pPr>
    <w:rPr/>
  </w:style>
  <w:style w:type="paragraph" w:styleId="Style58" w:customStyle="1">
    <w:name w:val="Таблица"/>
    <w:basedOn w:val="Style34"/>
    <w:qFormat/>
    <w:pPr>
      <w:jc w:val="center"/>
    </w:pPr>
    <w:rPr/>
  </w:style>
  <w:style w:type="paragraph" w:styleId="Style59" w:customStyle="1">
    <w:name w:val="Текст"/>
    <w:basedOn w:val="Style34"/>
    <w:qFormat/>
    <w:pPr>
      <w:jc w:val="center"/>
    </w:pPr>
    <w:rPr/>
  </w:style>
  <w:style w:type="paragraph" w:styleId="Style60" w:customStyle="1">
    <w:name w:val="Содержимое врезки"/>
    <w:basedOn w:val="Normal"/>
    <w:qFormat/>
    <w:pPr/>
    <w:rPr/>
  </w:style>
  <w:style w:type="paragraph" w:styleId="Style61">
    <w:name w:val="Footnote Text"/>
    <w:basedOn w:val="Normal"/>
    <w:qFormat/>
    <w:pPr>
      <w:jc w:val="left"/>
    </w:pPr>
    <w:rPr/>
  </w:style>
  <w:style w:type="paragraph" w:styleId="Style62">
    <w:name w:val="Envelope Address"/>
    <w:basedOn w:val="Normal"/>
    <w:qFormat/>
    <w:pPr/>
    <w:rPr/>
  </w:style>
  <w:style w:type="paragraph" w:styleId="Style63">
    <w:name w:val="Envelope Return"/>
    <w:basedOn w:val="Normal"/>
    <w:qFormat/>
    <w:pPr/>
    <w:rPr/>
  </w:style>
  <w:style w:type="paragraph" w:styleId="Style64">
    <w:name w:val="Endnote Text"/>
    <w:basedOn w:val="Normal"/>
    <w:qFormat/>
    <w:pPr/>
    <w:rPr/>
  </w:style>
  <w:style w:type="paragraph" w:styleId="TableofFigures">
    <w:name w:val="Table of Figures"/>
    <w:basedOn w:val="Style34"/>
    <w:qFormat/>
    <w:pPr>
      <w:jc w:val="center"/>
    </w:pPr>
    <w:rPr/>
  </w:style>
  <w:style w:type="paragraph" w:styleId="Style65" w:customStyle="1">
    <w:name w:val="Текст в заданном формате"/>
    <w:basedOn w:val="Normal"/>
    <w:qFormat/>
    <w:pPr/>
    <w:rPr/>
  </w:style>
  <w:style w:type="paragraph" w:styleId="Style66" w:customStyle="1">
    <w:name w:val="Горизонтальная линия"/>
    <w:basedOn w:val="Normal"/>
    <w:next w:val="Style30"/>
    <w:qFormat/>
    <w:pPr>
      <w:pBdr>
        <w:bottom w:val="single" w:sz="8" w:space="0" w:color="000000"/>
      </w:pBdr>
    </w:pPr>
    <w:rPr>
      <w:sz w:val="4"/>
    </w:rPr>
  </w:style>
  <w:style w:type="paragraph" w:styleId="Style67" w:customStyle="1">
    <w:name w:val="Содержимое списка"/>
    <w:basedOn w:val="Normal"/>
    <w:qFormat/>
    <w:pPr/>
    <w:rPr/>
  </w:style>
  <w:style w:type="paragraph" w:styleId="Style68" w:customStyle="1">
    <w:name w:val="Заголовок списка"/>
    <w:basedOn w:val="Normal"/>
    <w:next w:val="Style67"/>
    <w:qFormat/>
    <w:pPr/>
    <w:rPr/>
  </w:style>
  <w:style w:type="paragraph" w:styleId="Style69" w:customStyle="1">
    <w:name w:val="Гриф_Экземпляр"/>
    <w:basedOn w:val="Normal"/>
    <w:qFormat/>
    <w:pPr/>
    <w:rPr>
      <w:sz w:val="24"/>
    </w:rPr>
  </w:style>
  <w:style w:type="paragraph" w:styleId="Style70" w:customStyle="1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 w:customStyle="1">
    <w:name w:val="Заголовок списка иллюстраций"/>
    <w:basedOn w:val="Style29"/>
    <w:qFormat/>
    <w:pPr>
      <w:suppressLineNumbers/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2"/>
      <w:sz w:val="24"/>
      <w:szCs w:val="24"/>
      <w:lang w:val="ru-RU" w:eastAsia="ru-RU" w:bidi="ar-SA"/>
    </w:rPr>
  </w:style>
  <w:style w:type="paragraph" w:styleId="ConsPlusCell" w:customStyle="1">
    <w:name w:val="ConsPlusCel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4"/>
      <w:szCs w:val="24"/>
      <w:lang w:val="ru-RU" w:eastAsia="zh-CN" w:bidi="ar-SA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2"/>
      <w:sz w:val="24"/>
      <w:szCs w:val="24"/>
      <w:lang w:val="ru-RU" w:eastAsia="zh-CN" w:bidi="ar-SA"/>
    </w:rPr>
  </w:style>
  <w:style w:type="paragraph" w:styleId="211" w:customStyle="1">
    <w:name w:val="Основной текст с отступом 21"/>
    <w:basedOn w:val="Normal"/>
    <w:qFormat/>
    <w:pPr>
      <w:spacing w:lineRule="auto" w:line="480" w:before="0" w:after="120"/>
      <w:ind w:left="283" w:hanging="0"/>
    </w:pPr>
    <w:rPr/>
  </w:style>
  <w:style w:type="paragraph" w:styleId="HTMLPreformatted">
    <w:name w:val="HTML Preformatted"/>
    <w:basedOn w:val="Normal"/>
    <w:qFormat/>
    <w:pPr>
      <w:spacing w:lineRule="atLeast" w:line="216"/>
    </w:pPr>
    <w:rPr>
      <w:rFonts w:ascii="Courier New" w:hAnsi="Courier New" w:cs="Courier New"/>
      <w:sz w:val="20"/>
      <w:szCs w:val="20"/>
      <w:lang w:val="en-US"/>
    </w:rPr>
  </w:style>
  <w:style w:type="paragraph" w:styleId="48" w:customStyle="1">
    <w:name w:val="Основной текст (4)"/>
    <w:basedOn w:val="Normal"/>
    <w:qFormat/>
    <w:pPr>
      <w:shd w:val="solid" w:color="FFFFFF"/>
      <w:spacing w:lineRule="exact" w:line="274" w:before="0" w:after="480"/>
    </w:pPr>
    <w:rPr>
      <w:sz w:val="20"/>
      <w:szCs w:val="20"/>
      <w:lang w:eastAsia="zh-CN"/>
    </w:rPr>
  </w:style>
  <w:style w:type="paragraph" w:styleId="TableParagraph" w:customStyle="1">
    <w:name w:val="Table Paragraph"/>
    <w:basedOn w:val="Normal"/>
    <w:qFormat/>
    <w:pPr/>
    <w:rPr>
      <w:lang w:eastAsia="zh-CN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111" w:customStyle="1">
    <w:name w:val="Основной текст1"/>
    <w:basedOn w:val="Normal"/>
    <w:qFormat/>
    <w:pPr>
      <w:widowControl/>
      <w:shd w:val="solid" w:color="FFFFFF"/>
      <w:spacing w:lineRule="exact" w:line="486" w:before="600" w:after="480"/>
      <w:jc w:val="both"/>
    </w:pPr>
    <w:rPr>
      <w:rFonts w:ascii="Times New Roman" w:hAnsi="Times New Roman" w:eastAsia="Times New Roman" w:cs="Times New Roman"/>
      <w:szCs w:val="28"/>
      <w:lang w:bidi="ar-SA"/>
    </w:rPr>
  </w:style>
  <w:style w:type="paragraph" w:styleId="28" w:customStyle="1">
    <w:name w:val="Основной текст с отступом 2*"/>
    <w:basedOn w:val="Normal"/>
    <w:qFormat/>
    <w:pPr>
      <w:spacing w:lineRule="auto" w:line="480" w:before="0" w:after="120"/>
      <w:ind w:left="283" w:hanging="0"/>
    </w:pPr>
    <w:rPr/>
  </w:style>
  <w:style w:type="paragraph" w:styleId="NoSpacing">
    <w:name w:val="No Spacing"/>
    <w:basedOn w:val="Normal"/>
    <w:qFormat/>
    <w:pPr/>
    <w:rPr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gasu.gov/ru" TargetMode="External"/><Relationship Id="rId4" Type="http://schemas.openxmlformats.org/officeDocument/2006/relationships/hyperlink" Target="http://www.anzhero.ru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consultantplus://offline/ref=7C65270A067C21119621EFA8E61F9EB7D0801F2A1236D04E7E8AC1D3F77D8B56B46F990FE7A060BBD7D0CB8A81x2MEB" TargetMode="External"/><Relationship Id="rId8" Type="http://schemas.openxmlformats.org/officeDocument/2006/relationships/hyperlink" Target="https://login.consultant.ru/link/?req=doc&amp;base=LAW&amp;n=475991" TargetMode="External"/><Relationship Id="rId9" Type="http://schemas.openxmlformats.org/officeDocument/2006/relationships/hyperlink" Target="https://login.consultant.ru/link/?req=doc&amp;base=LAW&amp;n=475991" TargetMode="External"/><Relationship Id="rId10" Type="http://schemas.openxmlformats.org/officeDocument/2006/relationships/hyperlink" Target="https://login.consultant.ru/link/?req=doc&amp;base=LAW&amp;n=492326&amp;dst=2" TargetMode="Externa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header" Target="header4.xml"/><Relationship Id="rId16" Type="http://schemas.openxmlformats.org/officeDocument/2006/relationships/header" Target="header5.xml"/><Relationship Id="rId17" Type="http://schemas.openxmlformats.org/officeDocument/2006/relationships/footer" Target="footer4.xml"/><Relationship Id="rId18" Type="http://schemas.openxmlformats.org/officeDocument/2006/relationships/footer" Target="footer5.xml"/><Relationship Id="rId19" Type="http://schemas.openxmlformats.org/officeDocument/2006/relationships/header" Target="header6.xml"/><Relationship Id="rId20" Type="http://schemas.openxmlformats.org/officeDocument/2006/relationships/header" Target="header7.xml"/><Relationship Id="rId21" Type="http://schemas.openxmlformats.org/officeDocument/2006/relationships/footer" Target="footer6.xml"/><Relationship Id="rId22" Type="http://schemas.openxmlformats.org/officeDocument/2006/relationships/footer" Target="footer7.xml"/><Relationship Id="rId23" Type="http://schemas.openxmlformats.org/officeDocument/2006/relationships/hyperlink" Target="https://login.consultant.ru/link/?req=doc&amp;base=RLAW284&amp;n=146787" TargetMode="External"/><Relationship Id="rId24" Type="http://schemas.openxmlformats.org/officeDocument/2006/relationships/hyperlink" Target="https://login.consultant.ru/link/?req=doc&amp;base=RLAW284&amp;n=144351" TargetMode="External"/><Relationship Id="rId25" Type="http://schemas.openxmlformats.org/officeDocument/2006/relationships/hyperlink" Target="https://login.consultant.ru/link/?req=doc&amp;base=RLAW284&amp;n=133944" TargetMode="External"/><Relationship Id="rId26" Type="http://schemas.openxmlformats.org/officeDocument/2006/relationships/header" Target="header8.xml"/><Relationship Id="rId27" Type="http://schemas.openxmlformats.org/officeDocument/2006/relationships/header" Target="header9.xml"/><Relationship Id="rId28" Type="http://schemas.openxmlformats.org/officeDocument/2006/relationships/footer" Target="footer8.xml"/><Relationship Id="rId29" Type="http://schemas.openxmlformats.org/officeDocument/2006/relationships/footer" Target="footer9.xml"/><Relationship Id="rId30" Type="http://schemas.openxmlformats.org/officeDocument/2006/relationships/header" Target="header10.xml"/><Relationship Id="rId31" Type="http://schemas.openxmlformats.org/officeDocument/2006/relationships/header" Target="header11.xml"/><Relationship Id="rId32" Type="http://schemas.openxmlformats.org/officeDocument/2006/relationships/footer" Target="footer10.xml"/><Relationship Id="rId33" Type="http://schemas.openxmlformats.org/officeDocument/2006/relationships/footer" Target="footer11.xml"/><Relationship Id="rId34" Type="http://schemas.openxmlformats.org/officeDocument/2006/relationships/numbering" Target="numbering.xml"/><Relationship Id="rId35" Type="http://schemas.openxmlformats.org/officeDocument/2006/relationships/fontTable" Target="fontTable.xml"/><Relationship Id="rId36" Type="http://schemas.openxmlformats.org/officeDocument/2006/relationships/settings" Target="settings.xml"/><Relationship Id="rId3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PT Astra Serif"/>
        <a:ea typeface="Source Han Sans CN Regular"/>
        <a:cs typeface="Lohit Devanagari"/>
      </a:majorFont>
      <a:minorFont>
        <a:latin typeface="PT Astra Serif"/>
        <a:ea typeface="Source Han Sans CN Regular"/>
        <a:cs typeface="Lohit Devanaga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150</TotalTime>
  <Application>LibreOffice/7.5.3.2$Linux_X86_64 LibreOffice_project/50$Build-2</Application>
  <AppVersion>15.0000</AppVersion>
  <Pages>61</Pages>
  <Words>12173</Words>
  <Characters>89964</Characters>
  <CharactersWithSpaces>100442</CharactersWithSpaces>
  <Paragraphs>2323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2025-07-28T16:16:00Z</dcterms:created>
  <dc:creator/>
  <dc:description/>
  <dc:language>ru-RU</dc:language>
  <cp:lastModifiedBy/>
  <cp:lastPrinted>2025-08-15T14:58:01Z</cp:lastPrinted>
  <dcterms:modified xsi:type="dcterms:W3CDTF">2025-08-22T09:24:05Z</dcterms:modified>
  <cp:revision>175</cp:revision>
  <dc:subject/>
  <dc:title>Постановление Правительства Кемеровской области - Кузбасса от 29.09.2023 N 641"Об утверждении государственной программы Кемеровской области - Кузбасса "Социальная поддержка населения Кузбасса"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